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14:anchorId="78D54B55" wp14:editId="29B8047A">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2C21" w:rsidRDefault="00122C21">
                            <w:r>
                              <w:rPr>
                                <w:noProof/>
                                <w:lang w:eastAsia="en-GB"/>
                              </w:rPr>
                              <w:drawing>
                                <wp:inline distT="0" distB="0" distL="0" distR="0" wp14:anchorId="6070C4CB" wp14:editId="613A85B9">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122C21" w:rsidRDefault="00122C21">
                      <w:r>
                        <w:rPr>
                          <w:noProof/>
                          <w:lang w:eastAsia="en-GB"/>
                        </w:rPr>
                        <w:drawing>
                          <wp:inline distT="0" distB="0" distL="0" distR="0" wp14:anchorId="6070C4CB" wp14:editId="613A85B9">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Pr="00B756BD" w:rsidRDefault="00F4367A">
      <w:pPr>
        <w:tabs>
          <w:tab w:val="left" w:pos="2160"/>
        </w:tabs>
        <w:rPr>
          <w:rFonts w:cs="Arial"/>
          <w:b/>
          <w:bCs/>
        </w:rPr>
      </w:pPr>
      <w:r>
        <w:rPr>
          <w:rFonts w:cs="Arial"/>
          <w:b/>
          <w:bCs/>
        </w:rPr>
        <w:t>To:</w:t>
      </w:r>
      <w:r w:rsidR="00EA2FDD">
        <w:rPr>
          <w:rFonts w:cs="Arial"/>
          <w:b/>
          <w:bCs/>
        </w:rPr>
        <w:tab/>
      </w:r>
      <w:r w:rsidRPr="00B756BD">
        <w:rPr>
          <w:rFonts w:cs="Arial"/>
          <w:b/>
          <w:bCs/>
        </w:rPr>
        <w:t>City Executive Board</w:t>
      </w:r>
      <w:r w:rsidRPr="00B756BD">
        <w:rPr>
          <w:rFonts w:cs="Arial"/>
          <w:b/>
          <w:bCs/>
        </w:rPr>
        <w:tab/>
      </w:r>
    </w:p>
    <w:p w:rsidR="00F4367A" w:rsidRPr="00B756BD" w:rsidRDefault="00F4367A">
      <w:pPr>
        <w:rPr>
          <w:rFonts w:cs="Arial"/>
          <w:b/>
          <w:bCs/>
        </w:rPr>
      </w:pPr>
    </w:p>
    <w:p w:rsidR="00F4367A" w:rsidRPr="00B756BD" w:rsidRDefault="00F4367A">
      <w:pPr>
        <w:tabs>
          <w:tab w:val="left" w:pos="2160"/>
          <w:tab w:val="left" w:pos="6300"/>
          <w:tab w:val="left" w:pos="7380"/>
        </w:tabs>
        <w:rPr>
          <w:rFonts w:cs="Arial"/>
          <w:b/>
          <w:bCs/>
        </w:rPr>
      </w:pPr>
      <w:r w:rsidRPr="00B756BD">
        <w:rPr>
          <w:rFonts w:cs="Arial"/>
          <w:b/>
          <w:bCs/>
        </w:rPr>
        <w:t>Date:</w:t>
      </w:r>
      <w:r w:rsidR="00EA2FDD" w:rsidRPr="00B756BD">
        <w:rPr>
          <w:rFonts w:cs="Arial"/>
          <w:b/>
          <w:bCs/>
        </w:rPr>
        <w:tab/>
      </w:r>
      <w:r w:rsidR="008A3645" w:rsidRPr="00B756BD">
        <w:rPr>
          <w:rFonts w:cs="Arial"/>
          <w:b/>
          <w:bCs/>
        </w:rPr>
        <w:t>2 April 2015</w:t>
      </w:r>
      <w:r w:rsidRPr="00B756BD">
        <w:rPr>
          <w:rFonts w:cs="Arial"/>
          <w:b/>
          <w:bCs/>
        </w:rPr>
        <w:tab/>
        <w:t xml:space="preserve">       </w:t>
      </w:r>
      <w:r w:rsidRPr="00B756BD">
        <w:rPr>
          <w:rFonts w:cs="Arial"/>
          <w:b/>
          <w:bCs/>
        </w:rPr>
        <w:tab/>
        <w:t xml:space="preserve">   </w:t>
      </w:r>
      <w:r w:rsidRPr="00B756BD">
        <w:rPr>
          <w:rFonts w:cs="Arial"/>
          <w:b/>
          <w:bCs/>
        </w:rPr>
        <w:tab/>
      </w:r>
    </w:p>
    <w:p w:rsidR="00F4367A" w:rsidRPr="00B756BD" w:rsidRDefault="00F4367A">
      <w:pPr>
        <w:jc w:val="right"/>
        <w:rPr>
          <w:rFonts w:cs="Arial"/>
          <w:b/>
          <w:bCs/>
        </w:rPr>
      </w:pPr>
    </w:p>
    <w:p w:rsidR="00F4367A" w:rsidRPr="00B756BD" w:rsidRDefault="00F4367A">
      <w:pPr>
        <w:rPr>
          <w:rFonts w:cs="Arial"/>
          <w:b/>
          <w:bCs/>
        </w:rPr>
      </w:pPr>
      <w:r w:rsidRPr="00B756BD">
        <w:rPr>
          <w:rFonts w:cs="Arial"/>
          <w:b/>
          <w:bCs/>
        </w:rPr>
        <w:t>Report of:</w:t>
      </w:r>
      <w:r w:rsidR="00EA2FDD" w:rsidRPr="00B756BD">
        <w:rPr>
          <w:rFonts w:cs="Arial"/>
          <w:b/>
          <w:bCs/>
        </w:rPr>
        <w:tab/>
      </w:r>
      <w:r w:rsidR="00EA2FDD" w:rsidRPr="00B756BD">
        <w:rPr>
          <w:rFonts w:cs="Arial"/>
          <w:b/>
          <w:bCs/>
        </w:rPr>
        <w:tab/>
        <w:t xml:space="preserve">Head of </w:t>
      </w:r>
      <w:r w:rsidR="008A3645" w:rsidRPr="00B756BD">
        <w:rPr>
          <w:rFonts w:cs="Arial"/>
          <w:b/>
          <w:bCs/>
        </w:rPr>
        <w:t>Leisure, Parks and Communities</w:t>
      </w:r>
      <w:r w:rsidRPr="00B756BD">
        <w:rPr>
          <w:rFonts w:cs="Arial"/>
          <w:b/>
          <w:bCs/>
        </w:rPr>
        <w:tab/>
      </w:r>
    </w:p>
    <w:p w:rsidR="00F4367A" w:rsidRPr="00B756BD" w:rsidRDefault="00F4367A">
      <w:pPr>
        <w:tabs>
          <w:tab w:val="left" w:pos="2160"/>
        </w:tabs>
        <w:rPr>
          <w:rFonts w:cs="Arial"/>
          <w:b/>
          <w:bCs/>
        </w:rPr>
      </w:pPr>
    </w:p>
    <w:p w:rsidR="006E607D" w:rsidRPr="00B756BD" w:rsidRDefault="00F4367A" w:rsidP="009A7185">
      <w:pPr>
        <w:ind w:left="2160" w:hanging="2160"/>
        <w:jc w:val="both"/>
        <w:rPr>
          <w:rFonts w:cs="Arial"/>
          <w:b/>
          <w:caps/>
        </w:rPr>
      </w:pPr>
      <w:r w:rsidRPr="00B756BD">
        <w:rPr>
          <w:rFonts w:cs="Arial"/>
          <w:b/>
          <w:bCs/>
        </w:rPr>
        <w:t>Title of Report:</w:t>
      </w:r>
      <w:r w:rsidRPr="00B756BD">
        <w:rPr>
          <w:rFonts w:cs="Arial"/>
          <w:b/>
          <w:bCs/>
        </w:rPr>
        <w:tab/>
      </w:r>
      <w:r w:rsidR="005F3E92" w:rsidRPr="00B756BD">
        <w:rPr>
          <w:rFonts w:cs="Arial"/>
          <w:b/>
          <w:bCs/>
        </w:rPr>
        <w:t>Fusion Lifestyle’s 2015</w:t>
      </w:r>
      <w:r w:rsidR="006E607D" w:rsidRPr="00B756BD">
        <w:rPr>
          <w:rFonts w:cs="Arial"/>
          <w:b/>
          <w:bCs/>
        </w:rPr>
        <w:t>/ 201</w:t>
      </w:r>
      <w:r w:rsidR="005F3E92" w:rsidRPr="00B756BD">
        <w:rPr>
          <w:rFonts w:cs="Arial"/>
          <w:b/>
          <w:bCs/>
        </w:rPr>
        <w:t>6</w:t>
      </w:r>
      <w:r w:rsidR="006E607D" w:rsidRPr="00B756BD">
        <w:rPr>
          <w:rFonts w:cs="Arial"/>
          <w:b/>
          <w:bCs/>
        </w:rPr>
        <w:t xml:space="preserve"> Annual Service Plan for the management of the </w:t>
      </w:r>
      <w:r w:rsidR="00B14503">
        <w:rPr>
          <w:rFonts w:cs="Arial"/>
          <w:b/>
          <w:bCs/>
        </w:rPr>
        <w:t>C</w:t>
      </w:r>
      <w:r w:rsidR="006E607D" w:rsidRPr="00B756BD">
        <w:rPr>
          <w:rFonts w:cs="Arial"/>
          <w:b/>
          <w:bCs/>
        </w:rPr>
        <w:t>ouncil’s leisure facilities</w:t>
      </w:r>
    </w:p>
    <w:p w:rsidR="00F4367A" w:rsidRDefault="00F4367A">
      <w:pPr>
        <w:tabs>
          <w:tab w:val="left" w:pos="2160"/>
        </w:tabs>
        <w:rPr>
          <w:rFonts w:cs="Arial"/>
          <w:b/>
          <w:bCs/>
        </w:rPr>
      </w:pPr>
    </w:p>
    <w:p w:rsidR="00F4367A" w:rsidRDefault="00F4367A">
      <w:pPr>
        <w:rPr>
          <w:rFonts w:cs="Arial"/>
        </w:rPr>
      </w:pPr>
    </w:p>
    <w:p w:rsidR="00F4367A" w:rsidRDefault="00F4367A" w:rsidP="00ED1649">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rsidP="00ED1649">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rsidP="00ED1649">
      <w:pPr>
        <w:pBdr>
          <w:top w:val="single" w:sz="4" w:space="1" w:color="auto"/>
          <w:left w:val="single" w:sz="4" w:space="4" w:color="auto"/>
          <w:bottom w:val="single" w:sz="4" w:space="1" w:color="auto"/>
          <w:right w:val="single" w:sz="4" w:space="4" w:color="auto"/>
        </w:pBdr>
        <w:rPr>
          <w:rFonts w:cs="Arial"/>
        </w:rPr>
      </w:pPr>
    </w:p>
    <w:p w:rsidR="00F4367A" w:rsidRDefault="00F4367A" w:rsidP="00ED1649">
      <w:pPr>
        <w:pBdr>
          <w:top w:val="single" w:sz="4" w:space="1" w:color="auto"/>
          <w:left w:val="single" w:sz="4" w:space="4" w:color="auto"/>
          <w:bottom w:val="single" w:sz="4" w:space="1" w:color="auto"/>
          <w:right w:val="single" w:sz="4" w:space="4" w:color="auto"/>
        </w:pBdr>
        <w:jc w:val="both"/>
        <w:rPr>
          <w:rFonts w:cs="Arial"/>
        </w:rPr>
      </w:pPr>
      <w:r>
        <w:rPr>
          <w:rFonts w:cs="Arial"/>
          <w:b/>
          <w:bCs/>
        </w:rPr>
        <w:t>Purpose of report</w:t>
      </w:r>
      <w:r>
        <w:rPr>
          <w:rFonts w:cs="Arial"/>
        </w:rPr>
        <w:t xml:space="preserve">:  </w:t>
      </w:r>
      <w:r w:rsidR="006E607D" w:rsidRPr="007662D9">
        <w:rPr>
          <w:rFonts w:cs="Arial"/>
        </w:rPr>
        <w:t xml:space="preserve">The report </w:t>
      </w:r>
      <w:r w:rsidR="006E607D">
        <w:rPr>
          <w:rFonts w:cs="Arial"/>
        </w:rPr>
        <w:t xml:space="preserve">recommends </w:t>
      </w:r>
      <w:r w:rsidR="006E607D" w:rsidRPr="007662D9">
        <w:rPr>
          <w:rFonts w:cs="Arial"/>
        </w:rPr>
        <w:t>that the City Executive Board endorse Fusion Lifestyle’s Annual Service Plan for the management of the Council’s leisure facilities for 201</w:t>
      </w:r>
      <w:r w:rsidR="006E607D">
        <w:rPr>
          <w:rFonts w:cs="Arial"/>
        </w:rPr>
        <w:t>5</w:t>
      </w:r>
      <w:r w:rsidR="006E607D" w:rsidRPr="007662D9">
        <w:rPr>
          <w:rFonts w:cs="Arial"/>
        </w:rPr>
        <w:t>/1</w:t>
      </w:r>
      <w:r w:rsidR="006E607D">
        <w:rPr>
          <w:rFonts w:cs="Arial"/>
        </w:rPr>
        <w:t>6</w:t>
      </w:r>
      <w:r w:rsidR="006E607D" w:rsidRPr="007662D9">
        <w:rPr>
          <w:rFonts w:cs="Arial"/>
        </w:rPr>
        <w:t>.</w:t>
      </w:r>
    </w:p>
    <w:p w:rsidR="00F4367A" w:rsidRDefault="00F4367A" w:rsidP="00ED1649">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8A3645" w:rsidP="00ED1649">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 xml:space="preserve">Key decision: </w:t>
      </w:r>
      <w:r w:rsidRPr="006E607D">
        <w:rPr>
          <w:b w:val="0"/>
          <w:bCs w:val="0"/>
        </w:rPr>
        <w:t>Yes</w:t>
      </w:r>
      <w:r w:rsidR="00F4367A" w:rsidRPr="006E607D">
        <w:rPr>
          <w:b w:val="0"/>
          <w:bCs w:val="0"/>
        </w:rPr>
        <w:t xml:space="preserve"> </w:t>
      </w:r>
    </w:p>
    <w:p w:rsidR="00F4367A" w:rsidRDefault="00F4367A" w:rsidP="00ED1649">
      <w:pPr>
        <w:pBdr>
          <w:top w:val="single" w:sz="4" w:space="1" w:color="auto"/>
          <w:left w:val="single" w:sz="4" w:space="4" w:color="auto"/>
          <w:bottom w:val="single" w:sz="4" w:space="1" w:color="auto"/>
          <w:right w:val="single" w:sz="4" w:space="4" w:color="auto"/>
        </w:pBdr>
        <w:rPr>
          <w:rFonts w:cs="Arial"/>
        </w:rPr>
      </w:pPr>
    </w:p>
    <w:p w:rsidR="00F4367A" w:rsidRDefault="00F4367A" w:rsidP="00ED1649">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Executive lead member: </w:t>
      </w:r>
      <w:r w:rsidR="008A3645" w:rsidRPr="006E607D">
        <w:rPr>
          <w:rFonts w:cs="Arial"/>
          <w:bCs/>
        </w:rPr>
        <w:t>Councillor Mike Rowley</w:t>
      </w:r>
      <w:r w:rsidR="00204DC5">
        <w:rPr>
          <w:rFonts w:cs="Arial"/>
          <w:bCs/>
        </w:rPr>
        <w:t xml:space="preserve">, Executive Member for </w:t>
      </w:r>
      <w:r w:rsidR="00204DC5" w:rsidRPr="00204DC5">
        <w:rPr>
          <w:rFonts w:cs="Arial"/>
          <w:bCs/>
        </w:rPr>
        <w:t>Leisure Contract and Community Partnership Grants</w:t>
      </w:r>
    </w:p>
    <w:p w:rsidR="00F4367A" w:rsidRDefault="00F4367A" w:rsidP="00ED1649">
      <w:pPr>
        <w:pStyle w:val="Heading1"/>
        <w:pBdr>
          <w:top w:val="single" w:sz="4" w:space="1" w:color="auto"/>
          <w:left w:val="single" w:sz="4" w:space="4" w:color="auto"/>
          <w:bottom w:val="single" w:sz="4" w:space="1" w:color="auto"/>
          <w:right w:val="single" w:sz="4" w:space="4" w:color="auto"/>
        </w:pBdr>
      </w:pPr>
    </w:p>
    <w:p w:rsidR="006E607D" w:rsidRDefault="00F4367A" w:rsidP="00ED1649">
      <w:pPr>
        <w:pBdr>
          <w:top w:val="single" w:sz="4" w:space="1" w:color="auto"/>
          <w:left w:val="single" w:sz="4" w:space="4" w:color="auto"/>
          <w:bottom w:val="single" w:sz="4" w:space="1" w:color="auto"/>
          <w:right w:val="single" w:sz="4" w:space="4" w:color="auto"/>
        </w:pBdr>
        <w:jc w:val="both"/>
        <w:rPr>
          <w:rFonts w:cs="Arial"/>
          <w:bCs/>
        </w:rPr>
      </w:pPr>
      <w:r>
        <w:rPr>
          <w:rFonts w:cs="Arial"/>
          <w:b/>
          <w:bCs/>
        </w:rPr>
        <w:t xml:space="preserve">Policy Framework: </w:t>
      </w:r>
      <w:r w:rsidR="001C28AF">
        <w:rPr>
          <w:rFonts w:cs="Arial"/>
          <w:bCs/>
        </w:rPr>
        <w:t>Leisure and Wellbeing Strategy</w:t>
      </w:r>
      <w:r w:rsidR="00B30D94">
        <w:rPr>
          <w:rFonts w:cs="Arial"/>
          <w:bCs/>
        </w:rPr>
        <w:t>,</w:t>
      </w:r>
      <w:r w:rsidR="001C28AF">
        <w:rPr>
          <w:rFonts w:cs="Arial"/>
          <w:bCs/>
        </w:rPr>
        <w:t xml:space="preserve"> 2015 to 2020</w:t>
      </w:r>
    </w:p>
    <w:p w:rsidR="00ED1649" w:rsidRPr="00ED1649" w:rsidRDefault="00ED1649" w:rsidP="00ED1649">
      <w:pPr>
        <w:pStyle w:val="Heading1"/>
        <w:pBdr>
          <w:top w:val="single" w:sz="4" w:space="1" w:color="auto"/>
          <w:left w:val="single" w:sz="4" w:space="4" w:color="auto"/>
          <w:bottom w:val="single" w:sz="4" w:space="1" w:color="auto"/>
          <w:right w:val="single" w:sz="4" w:space="4" w:color="auto"/>
        </w:pBdr>
        <w:jc w:val="both"/>
        <w:rPr>
          <w:b w:val="0"/>
        </w:rPr>
      </w:pPr>
      <w:r>
        <w:rPr>
          <w:b w:val="0"/>
        </w:rPr>
        <w:t xml:space="preserve">                                 S</w:t>
      </w:r>
      <w:r w:rsidRPr="00ED1649">
        <w:rPr>
          <w:b w:val="0"/>
        </w:rPr>
        <w:t>trong and Active Communities</w:t>
      </w:r>
    </w:p>
    <w:p w:rsidR="00ED1649" w:rsidRPr="00ED1649" w:rsidRDefault="00ED1649" w:rsidP="00ED1649">
      <w:pPr>
        <w:pStyle w:val="Heading1"/>
        <w:pBdr>
          <w:top w:val="single" w:sz="4" w:space="1" w:color="auto"/>
          <w:left w:val="single" w:sz="4" w:space="4" w:color="auto"/>
          <w:bottom w:val="single" w:sz="4" w:space="1" w:color="auto"/>
          <w:right w:val="single" w:sz="4" w:space="4" w:color="auto"/>
        </w:pBdr>
        <w:tabs>
          <w:tab w:val="left" w:pos="3048"/>
        </w:tabs>
        <w:jc w:val="both"/>
        <w:rPr>
          <w:b w:val="0"/>
        </w:rPr>
      </w:pPr>
      <w:r>
        <w:rPr>
          <w:b w:val="0"/>
        </w:rPr>
        <w:t xml:space="preserve">                                 </w:t>
      </w:r>
      <w:r w:rsidRPr="00ED1649">
        <w:rPr>
          <w:b w:val="0"/>
        </w:rPr>
        <w:t>Vibrant, Sustainable Economy</w:t>
      </w:r>
    </w:p>
    <w:p w:rsidR="00ED1649" w:rsidRPr="00ED1649" w:rsidRDefault="00ED1649" w:rsidP="00ED1649">
      <w:pPr>
        <w:pStyle w:val="Heading1"/>
        <w:pBdr>
          <w:top w:val="single" w:sz="4" w:space="1" w:color="auto"/>
          <w:left w:val="single" w:sz="4" w:space="4" w:color="auto"/>
          <w:bottom w:val="single" w:sz="4" w:space="1" w:color="auto"/>
          <w:right w:val="single" w:sz="4" w:space="4" w:color="auto"/>
        </w:pBdr>
        <w:tabs>
          <w:tab w:val="left" w:pos="3048"/>
        </w:tabs>
        <w:jc w:val="both"/>
        <w:rPr>
          <w:b w:val="0"/>
        </w:rPr>
      </w:pPr>
      <w:r>
        <w:rPr>
          <w:b w:val="0"/>
        </w:rPr>
        <w:t xml:space="preserve">                                 </w:t>
      </w:r>
      <w:r w:rsidRPr="00ED1649">
        <w:rPr>
          <w:b w:val="0"/>
        </w:rPr>
        <w:t xml:space="preserve">Cleaner, Greener Oxford </w:t>
      </w:r>
    </w:p>
    <w:p w:rsidR="00ED1649" w:rsidRPr="007662D9" w:rsidRDefault="00ED1649" w:rsidP="00ED1649">
      <w:pPr>
        <w:pBdr>
          <w:top w:val="single" w:sz="4" w:space="1" w:color="auto"/>
          <w:left w:val="single" w:sz="4" w:space="4" w:color="auto"/>
          <w:bottom w:val="single" w:sz="4" w:space="1" w:color="auto"/>
          <w:right w:val="single" w:sz="4" w:space="4" w:color="auto"/>
        </w:pBdr>
        <w:jc w:val="both"/>
        <w:rPr>
          <w:rFonts w:cs="Arial"/>
          <w:bCs/>
        </w:rPr>
      </w:pPr>
      <w:r>
        <w:rPr>
          <w:rFonts w:cs="Arial"/>
          <w:bCs/>
        </w:rPr>
        <w:t xml:space="preserve">       </w:t>
      </w:r>
    </w:p>
    <w:p w:rsidR="00F4367A" w:rsidRDefault="00B756BD" w:rsidP="00ED1649">
      <w:pPr>
        <w:pBdr>
          <w:top w:val="single" w:sz="4" w:space="1" w:color="auto"/>
          <w:left w:val="single" w:sz="4" w:space="4" w:color="auto"/>
          <w:bottom w:val="single" w:sz="4" w:space="1" w:color="auto"/>
          <w:right w:val="single" w:sz="4" w:space="4" w:color="auto"/>
        </w:pBdr>
        <w:jc w:val="both"/>
        <w:rPr>
          <w:rFonts w:cs="Arial"/>
        </w:rPr>
      </w:pPr>
      <w:r>
        <w:rPr>
          <w:rFonts w:cs="Arial"/>
          <w:b/>
        </w:rPr>
        <w:t>Recommendation</w:t>
      </w:r>
      <w:r w:rsidR="00F4367A">
        <w:rPr>
          <w:rFonts w:cs="Arial"/>
          <w:b/>
        </w:rPr>
        <w:t>:</w:t>
      </w:r>
      <w:r w:rsidR="006E607D">
        <w:rPr>
          <w:rFonts w:cs="Arial"/>
          <w:b/>
        </w:rPr>
        <w:t xml:space="preserve"> </w:t>
      </w:r>
      <w:r w:rsidR="006E607D" w:rsidRPr="007662D9">
        <w:rPr>
          <w:rFonts w:cs="Arial"/>
        </w:rPr>
        <w:t>That the City Executive Board endorses Fusion Lifestyl</w:t>
      </w:r>
      <w:r w:rsidR="006E607D">
        <w:rPr>
          <w:rFonts w:cs="Arial"/>
        </w:rPr>
        <w:t>e’s Annual Service Plan for 2015</w:t>
      </w:r>
      <w:r w:rsidR="006E607D" w:rsidRPr="007662D9">
        <w:rPr>
          <w:rFonts w:cs="Arial"/>
        </w:rPr>
        <w:t>/1</w:t>
      </w:r>
      <w:r w:rsidR="006E607D">
        <w:rPr>
          <w:rFonts w:cs="Arial"/>
        </w:rPr>
        <w:t>6</w:t>
      </w:r>
      <w:r w:rsidR="006E607D" w:rsidRPr="007662D9">
        <w:rPr>
          <w:rFonts w:cs="Arial"/>
        </w:rPr>
        <w:t>.</w:t>
      </w:r>
    </w:p>
    <w:p w:rsidR="007F5CE4" w:rsidRPr="006E607D" w:rsidRDefault="007F5CE4" w:rsidP="00ED1649">
      <w:pPr>
        <w:pBdr>
          <w:top w:val="single" w:sz="4" w:space="1" w:color="auto"/>
          <w:left w:val="single" w:sz="4" w:space="4" w:color="auto"/>
          <w:bottom w:val="single" w:sz="4" w:space="1" w:color="auto"/>
          <w:right w:val="single" w:sz="4" w:space="4" w:color="auto"/>
        </w:pBdr>
        <w:jc w:val="both"/>
        <w:rPr>
          <w:rFonts w:cs="Arial"/>
        </w:rPr>
      </w:pPr>
    </w:p>
    <w:p w:rsidR="00F4367A" w:rsidRDefault="00F4367A" w:rsidP="00ED1649">
      <w:pPr>
        <w:tabs>
          <w:tab w:val="left" w:pos="3048"/>
        </w:tabs>
        <w:rPr>
          <w:rFonts w:cs="Arial"/>
          <w:b/>
        </w:rPr>
      </w:pPr>
    </w:p>
    <w:p w:rsidR="00F4367A" w:rsidRDefault="00F4367A">
      <w:pPr>
        <w:rPr>
          <w:rFonts w:cs="Arial"/>
        </w:rPr>
      </w:pPr>
    </w:p>
    <w:p w:rsidR="00713675" w:rsidRDefault="00713675">
      <w:pPr>
        <w:rPr>
          <w:rFonts w:cs="Arial"/>
        </w:rPr>
      </w:pPr>
      <w:r w:rsidRPr="007B6E54">
        <w:rPr>
          <w:rFonts w:cs="Arial"/>
          <w:b/>
        </w:rPr>
        <w:t>Appendices</w:t>
      </w:r>
    </w:p>
    <w:p w:rsidR="006E607D" w:rsidRPr="007662D9" w:rsidRDefault="006E607D" w:rsidP="006E607D">
      <w:pPr>
        <w:autoSpaceDE w:val="0"/>
        <w:autoSpaceDN w:val="0"/>
        <w:adjustRightInd w:val="0"/>
        <w:jc w:val="both"/>
        <w:rPr>
          <w:rFonts w:cs="Arial"/>
          <w:color w:val="000000"/>
          <w:lang w:eastAsia="en-GB"/>
        </w:rPr>
      </w:pPr>
      <w:r w:rsidRPr="007662D9">
        <w:rPr>
          <w:rFonts w:cs="Arial"/>
          <w:color w:val="000000"/>
          <w:lang w:eastAsia="en-GB"/>
        </w:rPr>
        <w:t>Appendix One Fusion Lifestyle’s Annual Service Plan summary</w:t>
      </w:r>
      <w:r w:rsidR="008B2016">
        <w:rPr>
          <w:rFonts w:cs="Arial"/>
          <w:color w:val="000000"/>
          <w:lang w:eastAsia="en-GB"/>
        </w:rPr>
        <w:t xml:space="preserve"> 201</w:t>
      </w:r>
      <w:r w:rsidR="00ED1649">
        <w:rPr>
          <w:rFonts w:cs="Arial"/>
          <w:color w:val="000000"/>
          <w:lang w:eastAsia="en-GB"/>
        </w:rPr>
        <w:t>4</w:t>
      </w:r>
      <w:r>
        <w:rPr>
          <w:rFonts w:cs="Arial"/>
          <w:color w:val="000000"/>
          <w:lang w:eastAsia="en-GB"/>
        </w:rPr>
        <w:t>/201</w:t>
      </w:r>
      <w:r w:rsidR="00ED1649">
        <w:rPr>
          <w:rFonts w:cs="Arial"/>
          <w:color w:val="000000"/>
          <w:lang w:eastAsia="en-GB"/>
        </w:rPr>
        <w:t>5</w:t>
      </w:r>
    </w:p>
    <w:p w:rsidR="006E607D" w:rsidRPr="007662D9" w:rsidRDefault="006E607D" w:rsidP="006E607D">
      <w:pPr>
        <w:autoSpaceDE w:val="0"/>
        <w:autoSpaceDN w:val="0"/>
        <w:adjustRightInd w:val="0"/>
        <w:jc w:val="both"/>
        <w:rPr>
          <w:rFonts w:cs="Arial"/>
          <w:color w:val="000000"/>
          <w:lang w:eastAsia="en-GB"/>
        </w:rPr>
      </w:pPr>
      <w:r w:rsidRPr="007662D9">
        <w:rPr>
          <w:rFonts w:cs="Arial"/>
          <w:color w:val="000000"/>
          <w:lang w:eastAsia="en-GB"/>
        </w:rPr>
        <w:t>Appendix T</w:t>
      </w:r>
      <w:r w:rsidR="00F45A08">
        <w:rPr>
          <w:rFonts w:cs="Arial"/>
          <w:color w:val="000000"/>
          <w:lang w:eastAsia="en-GB"/>
        </w:rPr>
        <w:t>wo</w:t>
      </w:r>
      <w:r w:rsidRPr="007662D9">
        <w:rPr>
          <w:rFonts w:cs="Arial"/>
          <w:color w:val="000000"/>
          <w:lang w:eastAsia="en-GB"/>
        </w:rPr>
        <w:t xml:space="preserve"> – Risk register</w:t>
      </w:r>
    </w:p>
    <w:p w:rsidR="006E607D" w:rsidRPr="007662D9" w:rsidRDefault="006E607D" w:rsidP="006E607D">
      <w:pPr>
        <w:jc w:val="both"/>
        <w:rPr>
          <w:rFonts w:cs="Arial"/>
          <w:color w:val="000000"/>
          <w:lang w:eastAsia="en-GB"/>
        </w:rPr>
      </w:pPr>
      <w:r w:rsidRPr="007662D9">
        <w:rPr>
          <w:rFonts w:cs="Arial"/>
          <w:color w:val="000000"/>
          <w:lang w:eastAsia="en-GB"/>
        </w:rPr>
        <w:t xml:space="preserve">Appendix </w:t>
      </w:r>
      <w:r w:rsidR="00F45A08">
        <w:rPr>
          <w:rFonts w:cs="Arial"/>
          <w:color w:val="000000"/>
          <w:lang w:eastAsia="en-GB"/>
        </w:rPr>
        <w:t>Three</w:t>
      </w:r>
      <w:r w:rsidRPr="007662D9">
        <w:rPr>
          <w:rFonts w:cs="Arial"/>
          <w:color w:val="000000"/>
          <w:lang w:eastAsia="en-GB"/>
        </w:rPr>
        <w:t xml:space="preserve"> – Initial Equality Impact Assessment</w:t>
      </w:r>
    </w:p>
    <w:p w:rsidR="007B6E54" w:rsidRDefault="007B6E54">
      <w:pPr>
        <w:rPr>
          <w:rFonts w:cs="Arial"/>
          <w:i/>
        </w:rPr>
      </w:pPr>
    </w:p>
    <w:p w:rsidR="007B6E54" w:rsidRDefault="007B6E54">
      <w:pPr>
        <w:rPr>
          <w:rFonts w:cs="Arial"/>
          <w:b/>
        </w:rPr>
      </w:pPr>
      <w:r>
        <w:rPr>
          <w:rFonts w:cs="Arial"/>
          <w:b/>
        </w:rPr>
        <w:t>Background</w:t>
      </w:r>
    </w:p>
    <w:p w:rsidR="007B6E54" w:rsidRDefault="007B6E54">
      <w:pPr>
        <w:rPr>
          <w:rFonts w:cs="Arial"/>
          <w:b/>
        </w:rPr>
      </w:pPr>
    </w:p>
    <w:p w:rsidR="00EA4BF8" w:rsidRPr="00EA4BF8" w:rsidRDefault="006E607D" w:rsidP="00EA4BF8">
      <w:pPr>
        <w:numPr>
          <w:ilvl w:val="1"/>
          <w:numId w:val="2"/>
        </w:numPr>
        <w:tabs>
          <w:tab w:val="num" w:pos="720"/>
        </w:tabs>
        <w:autoSpaceDE w:val="0"/>
        <w:autoSpaceDN w:val="0"/>
        <w:adjustRightInd w:val="0"/>
        <w:ind w:left="720" w:hanging="720"/>
        <w:jc w:val="both"/>
        <w:rPr>
          <w:rFonts w:cs="Arial"/>
        </w:rPr>
      </w:pPr>
      <w:r w:rsidRPr="00122C21">
        <w:rPr>
          <w:rFonts w:cs="Arial"/>
          <w:color w:val="000000"/>
          <w:lang w:eastAsia="en-GB"/>
        </w:rPr>
        <w:t xml:space="preserve">In March 2009 the </w:t>
      </w:r>
      <w:r w:rsidR="00B30D66">
        <w:rPr>
          <w:rFonts w:cs="Arial"/>
          <w:color w:val="000000"/>
          <w:lang w:eastAsia="en-GB"/>
        </w:rPr>
        <w:t>C</w:t>
      </w:r>
      <w:r w:rsidRPr="00122C21">
        <w:rPr>
          <w:rFonts w:cs="Arial"/>
          <w:color w:val="000000"/>
          <w:lang w:eastAsia="en-GB"/>
        </w:rPr>
        <w:t xml:space="preserve">ouncil entered into a contract with Fusion Lifestyle (Fusion) a </w:t>
      </w:r>
      <w:r w:rsidRPr="00122C21">
        <w:rPr>
          <w:rFonts w:cs="Arial"/>
        </w:rPr>
        <w:t>social enterprise with charitable status</w:t>
      </w:r>
      <w:r w:rsidRPr="00122C21">
        <w:rPr>
          <w:rFonts w:cs="Arial"/>
          <w:color w:val="000000"/>
          <w:lang w:eastAsia="en-GB"/>
        </w:rPr>
        <w:t xml:space="preserve"> to manage the Council’s Leisure Facilities. The contract was for ten years, with</w:t>
      </w:r>
      <w:bookmarkStart w:id="0" w:name="_GoBack"/>
      <w:bookmarkEnd w:id="0"/>
      <w:r w:rsidRPr="00122C21">
        <w:rPr>
          <w:rFonts w:cs="Arial"/>
          <w:color w:val="000000"/>
          <w:lang w:eastAsia="en-GB"/>
        </w:rPr>
        <w:t xml:space="preserve"> a five year extension clause.</w:t>
      </w:r>
    </w:p>
    <w:p w:rsidR="00EA4BF8" w:rsidRDefault="00EA4BF8" w:rsidP="00EA4BF8">
      <w:pPr>
        <w:tabs>
          <w:tab w:val="num" w:pos="720"/>
        </w:tabs>
        <w:autoSpaceDE w:val="0"/>
        <w:autoSpaceDN w:val="0"/>
        <w:adjustRightInd w:val="0"/>
        <w:ind w:left="720"/>
        <w:jc w:val="both"/>
        <w:rPr>
          <w:rFonts w:cs="Arial"/>
        </w:rPr>
      </w:pPr>
    </w:p>
    <w:p w:rsidR="009A7185" w:rsidRPr="00B30D66" w:rsidRDefault="006E607D" w:rsidP="00B30D66">
      <w:pPr>
        <w:numPr>
          <w:ilvl w:val="1"/>
          <w:numId w:val="2"/>
        </w:numPr>
        <w:tabs>
          <w:tab w:val="num" w:pos="720"/>
        </w:tabs>
        <w:autoSpaceDE w:val="0"/>
        <w:autoSpaceDN w:val="0"/>
        <w:adjustRightInd w:val="0"/>
        <w:ind w:left="720" w:hanging="720"/>
        <w:jc w:val="both"/>
        <w:rPr>
          <w:rFonts w:cs="Arial"/>
        </w:rPr>
      </w:pPr>
      <w:r w:rsidRPr="00EA4BF8">
        <w:rPr>
          <w:rFonts w:cs="Arial"/>
          <w:color w:val="000000"/>
          <w:lang w:eastAsia="en-GB"/>
        </w:rPr>
        <w:lastRenderedPageBreak/>
        <w:t xml:space="preserve">The </w:t>
      </w:r>
      <w:r w:rsidRPr="00EA4BF8">
        <w:rPr>
          <w:rFonts w:cs="Arial"/>
          <w:lang w:eastAsia="en-GB"/>
        </w:rPr>
        <w:t>contract with a social enterprise whose sole focus and extensive</w:t>
      </w:r>
      <w:r w:rsidR="00B30D66">
        <w:rPr>
          <w:rFonts w:cs="Arial"/>
          <w:lang w:eastAsia="en-GB"/>
        </w:rPr>
        <w:t xml:space="preserve"> </w:t>
      </w:r>
      <w:r w:rsidRPr="00B30D66">
        <w:rPr>
          <w:rFonts w:cs="Arial"/>
          <w:lang w:eastAsia="en-GB"/>
        </w:rPr>
        <w:t>expertise is operating leisure facilities has greatly improved the user</w:t>
      </w:r>
      <w:r w:rsidR="00B30D66">
        <w:rPr>
          <w:rFonts w:cs="Arial"/>
        </w:rPr>
        <w:t xml:space="preserve"> </w:t>
      </w:r>
      <w:r w:rsidR="00581EC0" w:rsidRPr="00B30D66">
        <w:rPr>
          <w:rFonts w:cs="Arial"/>
          <w:lang w:eastAsia="en-GB"/>
        </w:rPr>
        <w:t>experience, alongside achieving savings of around £660,000 per year</w:t>
      </w:r>
      <w:r w:rsidR="00EA4BF8" w:rsidRPr="00B30D66">
        <w:rPr>
          <w:rFonts w:cs="Arial"/>
          <w:lang w:eastAsia="en-GB"/>
        </w:rPr>
        <w:t>. Over this period facilities have been greatly improved with around £13.5 million of investment, which has in the main been funded by the contract savings.</w:t>
      </w:r>
      <w:r w:rsidR="00581EC0" w:rsidRPr="00B30D66">
        <w:rPr>
          <w:rFonts w:cs="Arial"/>
          <w:lang w:eastAsia="en-GB"/>
        </w:rPr>
        <w:t xml:space="preserve"> </w:t>
      </w:r>
    </w:p>
    <w:p w:rsidR="009A7185" w:rsidRDefault="009A7185" w:rsidP="009A7185">
      <w:pPr>
        <w:tabs>
          <w:tab w:val="left" w:pos="709"/>
        </w:tabs>
        <w:autoSpaceDE w:val="0"/>
        <w:autoSpaceDN w:val="0"/>
        <w:adjustRightInd w:val="0"/>
        <w:jc w:val="both"/>
        <w:rPr>
          <w:rFonts w:cs="Arial"/>
          <w:lang w:eastAsia="en-GB"/>
        </w:rPr>
      </w:pPr>
    </w:p>
    <w:p w:rsidR="00562089" w:rsidRDefault="009A7185" w:rsidP="00562089">
      <w:pPr>
        <w:pStyle w:val="ListParagraph"/>
        <w:numPr>
          <w:ilvl w:val="1"/>
          <w:numId w:val="2"/>
        </w:numPr>
        <w:tabs>
          <w:tab w:val="left" w:pos="709"/>
        </w:tabs>
        <w:autoSpaceDE w:val="0"/>
        <w:autoSpaceDN w:val="0"/>
        <w:adjustRightInd w:val="0"/>
        <w:ind w:hanging="644"/>
        <w:jc w:val="both"/>
        <w:rPr>
          <w:rFonts w:cs="Arial"/>
          <w:lang w:eastAsia="en-GB"/>
        </w:rPr>
      </w:pPr>
      <w:r w:rsidRPr="00562089">
        <w:rPr>
          <w:rFonts w:cs="Arial"/>
        </w:rPr>
        <w:t>In February 2014 the City Executive Board agreed to extend the contract to for the development, management and operation of the City’s leisure centres for a five year period to April 2024.</w:t>
      </w:r>
    </w:p>
    <w:p w:rsidR="00562089" w:rsidRPr="00562089" w:rsidRDefault="00562089" w:rsidP="00562089">
      <w:pPr>
        <w:pStyle w:val="ListParagraph"/>
        <w:tabs>
          <w:tab w:val="left" w:pos="709"/>
        </w:tabs>
        <w:autoSpaceDE w:val="0"/>
        <w:autoSpaceDN w:val="0"/>
        <w:adjustRightInd w:val="0"/>
        <w:ind w:left="644" w:hanging="644"/>
        <w:jc w:val="both"/>
        <w:rPr>
          <w:rFonts w:cs="Arial"/>
          <w:lang w:eastAsia="en-GB"/>
        </w:rPr>
      </w:pPr>
    </w:p>
    <w:p w:rsidR="006E607D" w:rsidRPr="00562089" w:rsidRDefault="006E607D" w:rsidP="00562089">
      <w:pPr>
        <w:pStyle w:val="ListParagraph"/>
        <w:numPr>
          <w:ilvl w:val="1"/>
          <w:numId w:val="2"/>
        </w:numPr>
        <w:tabs>
          <w:tab w:val="left" w:pos="709"/>
        </w:tabs>
        <w:autoSpaceDE w:val="0"/>
        <w:autoSpaceDN w:val="0"/>
        <w:adjustRightInd w:val="0"/>
        <w:ind w:hanging="644"/>
        <w:jc w:val="both"/>
        <w:rPr>
          <w:rFonts w:cs="Arial"/>
          <w:lang w:eastAsia="en-GB"/>
        </w:rPr>
      </w:pPr>
      <w:r w:rsidRPr="00562089">
        <w:rPr>
          <w:rFonts w:cs="Arial"/>
          <w:lang w:eastAsia="en-GB"/>
        </w:rPr>
        <w:t>Fusion</w:t>
      </w:r>
      <w:r w:rsidR="00B30D66">
        <w:rPr>
          <w:rFonts w:cs="Arial"/>
          <w:lang w:eastAsia="en-GB"/>
        </w:rPr>
        <w:t>’</w:t>
      </w:r>
      <w:r w:rsidRPr="00562089">
        <w:rPr>
          <w:rFonts w:cs="Arial"/>
          <w:lang w:eastAsia="en-GB"/>
        </w:rPr>
        <w:t>s 2015/16 Annual Service Plan (Plan) builds on the Council’s approach to delivering world class leisure provision to Oxford residents.</w:t>
      </w:r>
      <w:r w:rsidR="00B30D66">
        <w:rPr>
          <w:rFonts w:cs="Arial"/>
          <w:lang w:eastAsia="en-GB"/>
        </w:rPr>
        <w:t xml:space="preserve"> The plan is available on the City Council’s website.</w:t>
      </w:r>
    </w:p>
    <w:p w:rsidR="006E607D" w:rsidRDefault="006E607D" w:rsidP="006E607D">
      <w:pPr>
        <w:autoSpaceDE w:val="0"/>
        <w:autoSpaceDN w:val="0"/>
        <w:adjustRightInd w:val="0"/>
        <w:ind w:left="720"/>
        <w:jc w:val="both"/>
        <w:rPr>
          <w:rFonts w:cs="Arial"/>
          <w:lang w:eastAsia="en-GB"/>
        </w:rPr>
      </w:pPr>
    </w:p>
    <w:p w:rsidR="006E607D" w:rsidRPr="009A7185" w:rsidRDefault="006E607D" w:rsidP="00B30D66">
      <w:pPr>
        <w:pStyle w:val="ListParagraph"/>
        <w:numPr>
          <w:ilvl w:val="1"/>
          <w:numId w:val="19"/>
        </w:numPr>
        <w:autoSpaceDE w:val="0"/>
        <w:autoSpaceDN w:val="0"/>
        <w:adjustRightInd w:val="0"/>
        <w:ind w:left="709" w:hanging="709"/>
        <w:jc w:val="both"/>
        <w:rPr>
          <w:rFonts w:cs="Arial"/>
          <w:lang w:eastAsia="en-GB"/>
        </w:rPr>
      </w:pPr>
      <w:r w:rsidRPr="009A7185">
        <w:rPr>
          <w:rFonts w:cs="Arial"/>
          <w:lang w:eastAsia="en-GB"/>
        </w:rPr>
        <w:t xml:space="preserve">Leisure provision in the city is continuously improving since the collaboration with Fusion in 2009 and supports the Council’s strategic aims.  </w:t>
      </w:r>
      <w:r w:rsidRPr="009A7185">
        <w:rPr>
          <w:rFonts w:ascii="TT2386Eo00" w:hAnsi="TT2386Eo00" w:cs="TT2386Eo00"/>
          <w:lang w:eastAsia="en-GB"/>
        </w:rPr>
        <w:t>The achievements to date can be summarised as:</w:t>
      </w:r>
    </w:p>
    <w:p w:rsidR="006E607D" w:rsidRPr="002C294F" w:rsidRDefault="006E607D" w:rsidP="006E607D">
      <w:pPr>
        <w:autoSpaceDE w:val="0"/>
        <w:autoSpaceDN w:val="0"/>
        <w:adjustRightInd w:val="0"/>
        <w:ind w:left="720"/>
        <w:jc w:val="both"/>
        <w:rPr>
          <w:rFonts w:cs="Arial"/>
          <w:lang w:eastAsia="en-GB"/>
        </w:rPr>
      </w:pPr>
    </w:p>
    <w:p w:rsidR="006E607D" w:rsidRPr="002C294F" w:rsidRDefault="006E607D" w:rsidP="006E607D">
      <w:pPr>
        <w:numPr>
          <w:ilvl w:val="0"/>
          <w:numId w:val="7"/>
        </w:numPr>
        <w:autoSpaceDE w:val="0"/>
        <w:autoSpaceDN w:val="0"/>
        <w:adjustRightInd w:val="0"/>
        <w:ind w:left="1134" w:hanging="425"/>
        <w:jc w:val="both"/>
        <w:rPr>
          <w:rFonts w:cs="Arial"/>
          <w:lang w:eastAsia="en-GB"/>
        </w:rPr>
      </w:pPr>
      <w:r w:rsidRPr="002C294F">
        <w:rPr>
          <w:rFonts w:cs="Arial"/>
          <w:lang w:eastAsia="en-GB"/>
        </w:rPr>
        <w:t xml:space="preserve">Usage has increased by </w:t>
      </w:r>
      <w:r w:rsidR="00104567">
        <w:rPr>
          <w:rFonts w:cs="Arial"/>
          <w:lang w:eastAsia="en-GB"/>
        </w:rPr>
        <w:t>40</w:t>
      </w:r>
      <w:r w:rsidR="003105B3">
        <w:rPr>
          <w:rStyle w:val="FootnoteReference"/>
          <w:rFonts w:cs="Arial"/>
          <w:lang w:eastAsia="en-GB"/>
        </w:rPr>
        <w:footnoteReference w:id="1"/>
      </w:r>
      <w:r w:rsidR="00104567">
        <w:rPr>
          <w:rFonts w:cs="Arial"/>
          <w:lang w:eastAsia="en-GB"/>
        </w:rPr>
        <w:t xml:space="preserve"> </w:t>
      </w:r>
      <w:r>
        <w:rPr>
          <w:rFonts w:cs="Arial"/>
          <w:lang w:eastAsia="en-GB"/>
        </w:rPr>
        <w:t>per cent</w:t>
      </w:r>
      <w:r w:rsidRPr="002C294F">
        <w:rPr>
          <w:rFonts w:cs="Arial"/>
          <w:lang w:eastAsia="en-GB"/>
        </w:rPr>
        <w:t xml:space="preserve"> on pre contract levels, now totalling around </w:t>
      </w:r>
      <w:r w:rsidR="001328C0">
        <w:rPr>
          <w:rFonts w:cs="Arial"/>
          <w:lang w:eastAsia="en-GB"/>
        </w:rPr>
        <w:t>1.3</w:t>
      </w:r>
      <w:r>
        <w:rPr>
          <w:rFonts w:cs="Arial"/>
          <w:lang w:eastAsia="en-GB"/>
        </w:rPr>
        <w:t xml:space="preserve"> </w:t>
      </w:r>
      <w:r w:rsidRPr="002C294F">
        <w:rPr>
          <w:rFonts w:cs="Arial"/>
          <w:lang w:eastAsia="en-GB"/>
        </w:rPr>
        <w:t>million visits a year</w:t>
      </w:r>
      <w:r>
        <w:rPr>
          <w:rFonts w:cs="Arial"/>
          <w:lang w:eastAsia="en-GB"/>
        </w:rPr>
        <w:t>.</w:t>
      </w:r>
    </w:p>
    <w:p w:rsidR="00CC5B69" w:rsidRPr="00CC5B69" w:rsidRDefault="00CC5B69" w:rsidP="00CC5B69">
      <w:pPr>
        <w:numPr>
          <w:ilvl w:val="0"/>
          <w:numId w:val="7"/>
        </w:numPr>
        <w:autoSpaceDE w:val="0"/>
        <w:autoSpaceDN w:val="0"/>
        <w:adjustRightInd w:val="0"/>
        <w:ind w:left="1134" w:hanging="425"/>
        <w:jc w:val="both"/>
        <w:rPr>
          <w:rFonts w:eastAsia="Symbol"/>
          <w:color w:val="000000"/>
        </w:rPr>
      </w:pPr>
      <w:r w:rsidRPr="00CC5B69">
        <w:rPr>
          <w:rFonts w:eastAsia="Symbol" w:cs="Arial"/>
          <w:color w:val="000000"/>
        </w:rPr>
        <w:t>The main increase in usage is in our target groups (people from areas of deprivation, BAME people, older people, disabled people, women and girls and under-17s) which have increased by 82 per cent.</w:t>
      </w:r>
    </w:p>
    <w:p w:rsidR="00CC5B69" w:rsidRPr="00CC5B69" w:rsidRDefault="00CC5B69" w:rsidP="00CC5B69">
      <w:pPr>
        <w:numPr>
          <w:ilvl w:val="0"/>
          <w:numId w:val="7"/>
        </w:numPr>
        <w:autoSpaceDE w:val="0"/>
        <w:autoSpaceDN w:val="0"/>
        <w:adjustRightInd w:val="0"/>
        <w:ind w:left="1134" w:hanging="425"/>
        <w:jc w:val="both"/>
        <w:rPr>
          <w:rFonts w:eastAsia="Symbol"/>
        </w:rPr>
      </w:pPr>
      <w:r w:rsidRPr="00CC5B69">
        <w:rPr>
          <w:rFonts w:eastAsia="Symbol" w:cs="Arial"/>
        </w:rPr>
        <w:t>The net subsidy per user has reduced from over £2.14 to £0.47 and is on target to reduce to £0.08 per user subsidy by 2016, and break even by 2017.</w:t>
      </w:r>
    </w:p>
    <w:p w:rsidR="006D7BDF" w:rsidRDefault="006D7BDF" w:rsidP="00562089">
      <w:pPr>
        <w:numPr>
          <w:ilvl w:val="0"/>
          <w:numId w:val="7"/>
        </w:numPr>
        <w:autoSpaceDE w:val="0"/>
        <w:autoSpaceDN w:val="0"/>
        <w:adjustRightInd w:val="0"/>
        <w:ind w:left="1134" w:hanging="425"/>
        <w:jc w:val="both"/>
        <w:rPr>
          <w:rFonts w:cs="Arial"/>
          <w:lang w:eastAsia="en-GB"/>
        </w:rPr>
      </w:pPr>
      <w:r>
        <w:rPr>
          <w:rFonts w:cs="Arial"/>
          <w:lang w:eastAsia="en-GB"/>
        </w:rPr>
        <w:t>A</w:t>
      </w:r>
      <w:r w:rsidR="00562089" w:rsidRPr="00562089">
        <w:rPr>
          <w:rFonts w:cs="Arial"/>
          <w:lang w:eastAsia="en-GB"/>
        </w:rPr>
        <w:t>ddit</w:t>
      </w:r>
      <w:r w:rsidR="00562089">
        <w:rPr>
          <w:rFonts w:cs="Arial"/>
          <w:lang w:eastAsia="en-GB"/>
        </w:rPr>
        <w:t>io</w:t>
      </w:r>
      <w:r w:rsidR="00562089" w:rsidRPr="00562089">
        <w:rPr>
          <w:rFonts w:cs="Arial"/>
          <w:lang w:eastAsia="en-GB"/>
        </w:rPr>
        <w:t>nal increase</w:t>
      </w:r>
      <w:r>
        <w:rPr>
          <w:rFonts w:cs="Arial"/>
          <w:lang w:eastAsia="en-GB"/>
        </w:rPr>
        <w:t>s</w:t>
      </w:r>
      <w:r w:rsidR="00562089" w:rsidRPr="00562089">
        <w:rPr>
          <w:rFonts w:cs="Arial"/>
          <w:lang w:eastAsia="en-GB"/>
        </w:rPr>
        <w:t xml:space="preserve"> in the Oxford Living Wage and energy </w:t>
      </w:r>
      <w:r>
        <w:rPr>
          <w:rFonts w:cs="Arial"/>
          <w:lang w:eastAsia="en-GB"/>
        </w:rPr>
        <w:t>costs</w:t>
      </w:r>
      <w:r w:rsidR="00562089" w:rsidRPr="00562089">
        <w:rPr>
          <w:rFonts w:cs="Arial"/>
          <w:lang w:eastAsia="en-GB"/>
        </w:rPr>
        <w:t xml:space="preserve"> have been absorbed</w:t>
      </w:r>
      <w:r>
        <w:rPr>
          <w:rFonts w:cs="Arial"/>
          <w:lang w:eastAsia="en-GB"/>
        </w:rPr>
        <w:t>.</w:t>
      </w:r>
    </w:p>
    <w:p w:rsidR="006E607D" w:rsidRPr="00562089" w:rsidRDefault="00F528C7" w:rsidP="00562089">
      <w:pPr>
        <w:numPr>
          <w:ilvl w:val="0"/>
          <w:numId w:val="7"/>
        </w:numPr>
        <w:autoSpaceDE w:val="0"/>
        <w:autoSpaceDN w:val="0"/>
        <w:adjustRightInd w:val="0"/>
        <w:ind w:left="1134" w:hanging="425"/>
        <w:jc w:val="both"/>
        <w:rPr>
          <w:rFonts w:cs="Arial"/>
          <w:lang w:eastAsia="en-GB"/>
        </w:rPr>
      </w:pPr>
      <w:r w:rsidRPr="00562089">
        <w:rPr>
          <w:rFonts w:cs="Arial"/>
          <w:lang w:eastAsia="en-GB"/>
        </w:rPr>
        <w:t>Very high c</w:t>
      </w:r>
      <w:r w:rsidR="006E607D" w:rsidRPr="00562089">
        <w:rPr>
          <w:rFonts w:cs="Arial"/>
          <w:lang w:eastAsia="en-GB"/>
        </w:rPr>
        <w:t xml:space="preserve">ustomer satisfaction levels </w:t>
      </w:r>
      <w:r w:rsidRPr="00562089">
        <w:rPr>
          <w:rFonts w:cs="Arial"/>
          <w:lang w:eastAsia="en-GB"/>
        </w:rPr>
        <w:t xml:space="preserve">- </w:t>
      </w:r>
      <w:r w:rsidR="001328C0" w:rsidRPr="00562089">
        <w:rPr>
          <w:rFonts w:cs="Arial"/>
          <w:lang w:eastAsia="en-GB"/>
        </w:rPr>
        <w:t xml:space="preserve">98 </w:t>
      </w:r>
      <w:r w:rsidR="006E607D" w:rsidRPr="00562089">
        <w:rPr>
          <w:rFonts w:cs="Arial"/>
          <w:lang w:eastAsia="en-GB"/>
        </w:rPr>
        <w:t>per cent</w:t>
      </w:r>
      <w:r w:rsidR="009A7185" w:rsidRPr="00562089">
        <w:rPr>
          <w:rFonts w:cs="Arial"/>
          <w:lang w:eastAsia="en-GB"/>
        </w:rPr>
        <w:t xml:space="preserve"> satisfied</w:t>
      </w:r>
      <w:r w:rsidRPr="00562089">
        <w:rPr>
          <w:rFonts w:cs="Arial"/>
          <w:lang w:eastAsia="en-GB"/>
        </w:rPr>
        <w:t xml:space="preserve"> </w:t>
      </w:r>
      <w:r w:rsidR="00581EC0" w:rsidRPr="00562089">
        <w:rPr>
          <w:rFonts w:cs="Arial"/>
          <w:lang w:eastAsia="en-GB"/>
        </w:rPr>
        <w:t>and 55</w:t>
      </w:r>
      <w:r w:rsidRPr="00562089">
        <w:rPr>
          <w:rFonts w:cs="Arial"/>
          <w:lang w:eastAsia="en-GB"/>
        </w:rPr>
        <w:t xml:space="preserve"> per cent rate the centres as </w:t>
      </w:r>
      <w:r w:rsidR="00581EC0" w:rsidRPr="00562089">
        <w:rPr>
          <w:rFonts w:cs="Arial"/>
          <w:lang w:eastAsia="en-GB"/>
        </w:rPr>
        <w:t>excellent.</w:t>
      </w:r>
    </w:p>
    <w:p w:rsidR="006E607D" w:rsidRDefault="006E607D" w:rsidP="006E607D">
      <w:pPr>
        <w:numPr>
          <w:ilvl w:val="0"/>
          <w:numId w:val="7"/>
        </w:numPr>
        <w:autoSpaceDE w:val="0"/>
        <w:autoSpaceDN w:val="0"/>
        <w:adjustRightInd w:val="0"/>
        <w:ind w:left="1134" w:hanging="425"/>
        <w:jc w:val="both"/>
        <w:rPr>
          <w:rFonts w:cs="Arial"/>
          <w:lang w:eastAsia="en-GB"/>
        </w:rPr>
      </w:pPr>
      <w:r w:rsidRPr="002C294F">
        <w:rPr>
          <w:rFonts w:cs="Arial"/>
          <w:lang w:eastAsia="en-GB"/>
        </w:rPr>
        <w:t xml:space="preserve">Quest (the sport and leisure industries quality </w:t>
      </w:r>
      <w:r w:rsidR="00A6745F">
        <w:rPr>
          <w:rFonts w:cs="Arial"/>
          <w:lang w:eastAsia="en-GB"/>
        </w:rPr>
        <w:t xml:space="preserve">and customer </w:t>
      </w:r>
      <w:r w:rsidRPr="002C294F">
        <w:rPr>
          <w:rFonts w:cs="Arial"/>
          <w:lang w:eastAsia="en-GB"/>
        </w:rPr>
        <w:t>assurance scheme) has been achieved</w:t>
      </w:r>
      <w:r>
        <w:rPr>
          <w:rFonts w:cs="Arial"/>
          <w:lang w:eastAsia="en-GB"/>
        </w:rPr>
        <w:t xml:space="preserve"> and maintained</w:t>
      </w:r>
      <w:r w:rsidRPr="002C294F">
        <w:rPr>
          <w:rFonts w:cs="Arial"/>
          <w:lang w:eastAsia="en-GB"/>
        </w:rPr>
        <w:t xml:space="preserve"> at </w:t>
      </w:r>
      <w:r w:rsidR="00F528C7">
        <w:rPr>
          <w:rFonts w:cs="Arial"/>
          <w:lang w:eastAsia="en-GB"/>
        </w:rPr>
        <w:t xml:space="preserve">all the </w:t>
      </w:r>
      <w:r w:rsidRPr="002C294F">
        <w:rPr>
          <w:rFonts w:cs="Arial"/>
          <w:lang w:eastAsia="en-GB"/>
        </w:rPr>
        <w:t>centres.</w:t>
      </w:r>
    </w:p>
    <w:p w:rsidR="00DD00A0" w:rsidRPr="002C294F" w:rsidRDefault="00DD00A0" w:rsidP="006E607D">
      <w:pPr>
        <w:numPr>
          <w:ilvl w:val="0"/>
          <w:numId w:val="7"/>
        </w:numPr>
        <w:autoSpaceDE w:val="0"/>
        <w:autoSpaceDN w:val="0"/>
        <w:adjustRightInd w:val="0"/>
        <w:ind w:left="1134" w:hanging="425"/>
        <w:jc w:val="both"/>
        <w:rPr>
          <w:rFonts w:cs="Arial"/>
          <w:lang w:eastAsia="en-GB"/>
        </w:rPr>
      </w:pPr>
      <w:r>
        <w:rPr>
          <w:rFonts w:cs="Arial"/>
          <w:lang w:eastAsia="en-GB"/>
        </w:rPr>
        <w:t xml:space="preserve">Development on time and </w:t>
      </w:r>
      <w:r w:rsidR="00562089">
        <w:rPr>
          <w:rFonts w:cs="Arial"/>
          <w:lang w:eastAsia="en-GB"/>
        </w:rPr>
        <w:t>with</w:t>
      </w:r>
      <w:r>
        <w:rPr>
          <w:rFonts w:cs="Arial"/>
          <w:lang w:eastAsia="en-GB"/>
        </w:rPr>
        <w:t>in budget of the Leys Pool and Leisure Centre</w:t>
      </w:r>
      <w:r w:rsidR="00B60364">
        <w:rPr>
          <w:rFonts w:cs="Arial"/>
          <w:lang w:eastAsia="en-GB"/>
        </w:rPr>
        <w:t>.</w:t>
      </w:r>
    </w:p>
    <w:p w:rsidR="006E607D" w:rsidRPr="007662D9" w:rsidRDefault="006E607D" w:rsidP="006E607D">
      <w:pPr>
        <w:tabs>
          <w:tab w:val="num" w:pos="720"/>
        </w:tabs>
        <w:autoSpaceDE w:val="0"/>
        <w:autoSpaceDN w:val="0"/>
        <w:adjustRightInd w:val="0"/>
        <w:jc w:val="both"/>
        <w:rPr>
          <w:rFonts w:cs="Arial"/>
        </w:rPr>
      </w:pPr>
    </w:p>
    <w:p w:rsidR="006E607D" w:rsidRPr="002B5E31" w:rsidRDefault="006E607D" w:rsidP="00B756BD">
      <w:pPr>
        <w:numPr>
          <w:ilvl w:val="1"/>
          <w:numId w:val="19"/>
        </w:numPr>
        <w:autoSpaceDE w:val="0"/>
        <w:autoSpaceDN w:val="0"/>
        <w:adjustRightInd w:val="0"/>
        <w:ind w:left="709" w:hanging="709"/>
        <w:jc w:val="both"/>
        <w:rPr>
          <w:rFonts w:cs="Arial"/>
          <w:lang w:eastAsia="en-GB"/>
        </w:rPr>
      </w:pPr>
      <w:r w:rsidRPr="002B5E31">
        <w:rPr>
          <w:rFonts w:cs="Arial"/>
          <w:lang w:eastAsia="en-GB"/>
        </w:rPr>
        <w:t>The 201</w:t>
      </w:r>
      <w:r w:rsidR="008B2016">
        <w:rPr>
          <w:rFonts w:cs="Arial"/>
          <w:lang w:eastAsia="en-GB"/>
        </w:rPr>
        <w:t>5</w:t>
      </w:r>
      <w:r w:rsidRPr="002B5E31">
        <w:rPr>
          <w:rFonts w:cs="Arial"/>
          <w:lang w:eastAsia="en-GB"/>
        </w:rPr>
        <w:t>/1</w:t>
      </w:r>
      <w:r w:rsidR="008B2016">
        <w:rPr>
          <w:rFonts w:cs="Arial"/>
          <w:lang w:eastAsia="en-GB"/>
        </w:rPr>
        <w:t>6</w:t>
      </w:r>
      <w:r w:rsidRPr="002B5E31">
        <w:rPr>
          <w:rFonts w:cs="Arial"/>
          <w:lang w:eastAsia="en-GB"/>
        </w:rPr>
        <w:t xml:space="preserve"> Plan is focused on delivering the Council’s priorities in the most effective and efficient way and places significant focus upon:</w:t>
      </w:r>
    </w:p>
    <w:p w:rsidR="006E607D" w:rsidRPr="007662D9" w:rsidRDefault="006E607D" w:rsidP="006E607D">
      <w:pPr>
        <w:autoSpaceDE w:val="0"/>
        <w:autoSpaceDN w:val="0"/>
        <w:adjustRightInd w:val="0"/>
        <w:jc w:val="both"/>
        <w:rPr>
          <w:rFonts w:cs="Arial"/>
          <w:lang w:eastAsia="en-GB"/>
        </w:rPr>
      </w:pPr>
    </w:p>
    <w:p w:rsidR="006E607D" w:rsidRPr="007662D9" w:rsidRDefault="006E607D" w:rsidP="006E607D">
      <w:pPr>
        <w:numPr>
          <w:ilvl w:val="0"/>
          <w:numId w:val="6"/>
        </w:numPr>
        <w:autoSpaceDE w:val="0"/>
        <w:autoSpaceDN w:val="0"/>
        <w:adjustRightInd w:val="0"/>
        <w:jc w:val="both"/>
        <w:rPr>
          <w:rFonts w:cs="Arial"/>
          <w:lang w:eastAsia="en-GB"/>
        </w:rPr>
      </w:pPr>
      <w:r w:rsidRPr="007662D9">
        <w:rPr>
          <w:rFonts w:cs="Arial"/>
          <w:lang w:eastAsia="en-GB"/>
        </w:rPr>
        <w:t xml:space="preserve">Accessible and affordable leisure opportunities through pricing structures </w:t>
      </w:r>
      <w:r>
        <w:rPr>
          <w:rFonts w:cs="Arial"/>
          <w:lang w:eastAsia="en-GB"/>
        </w:rPr>
        <w:t>at</w:t>
      </w:r>
      <w:r w:rsidRPr="007662D9">
        <w:rPr>
          <w:rFonts w:cs="Arial"/>
          <w:lang w:eastAsia="en-GB"/>
        </w:rPr>
        <w:t xml:space="preserve"> appropriate and inclusive levels.</w:t>
      </w:r>
    </w:p>
    <w:p w:rsidR="006E607D" w:rsidRPr="007662D9" w:rsidRDefault="006E607D" w:rsidP="006E607D">
      <w:pPr>
        <w:numPr>
          <w:ilvl w:val="0"/>
          <w:numId w:val="6"/>
        </w:numPr>
        <w:autoSpaceDE w:val="0"/>
        <w:autoSpaceDN w:val="0"/>
        <w:adjustRightInd w:val="0"/>
        <w:jc w:val="both"/>
        <w:rPr>
          <w:rFonts w:cs="Arial"/>
          <w:lang w:eastAsia="en-GB"/>
        </w:rPr>
      </w:pPr>
      <w:r w:rsidRPr="007662D9">
        <w:rPr>
          <w:rFonts w:cs="Arial"/>
          <w:lang w:eastAsia="en-GB"/>
        </w:rPr>
        <w:t>Improving health and well-being by</w:t>
      </w:r>
      <w:r w:rsidRPr="007662D9">
        <w:rPr>
          <w:rFonts w:cs="Arial"/>
        </w:rPr>
        <w:t xml:space="preserve"> </w:t>
      </w:r>
      <w:r w:rsidRPr="007662D9">
        <w:rPr>
          <w:rFonts w:cs="Arial"/>
          <w:lang w:eastAsia="en-GB"/>
        </w:rPr>
        <w:t>positively promoting and delivering the benefits of healthy living and active lifestyles.</w:t>
      </w:r>
    </w:p>
    <w:p w:rsidR="006E607D" w:rsidRPr="007662D9" w:rsidRDefault="006E607D" w:rsidP="006E607D">
      <w:pPr>
        <w:numPr>
          <w:ilvl w:val="0"/>
          <w:numId w:val="6"/>
        </w:numPr>
        <w:autoSpaceDE w:val="0"/>
        <w:autoSpaceDN w:val="0"/>
        <w:adjustRightInd w:val="0"/>
        <w:jc w:val="both"/>
        <w:rPr>
          <w:rFonts w:cs="Arial"/>
          <w:lang w:eastAsia="en-GB"/>
        </w:rPr>
      </w:pPr>
      <w:r>
        <w:rPr>
          <w:rFonts w:cs="Arial"/>
          <w:lang w:eastAsia="en-GB"/>
        </w:rPr>
        <w:t xml:space="preserve">Supporting the council’s </w:t>
      </w:r>
      <w:r w:rsidRPr="007662D9">
        <w:rPr>
          <w:rFonts w:cs="Arial"/>
          <w:lang w:eastAsia="en-GB"/>
        </w:rPr>
        <w:t xml:space="preserve">Youth Ambition Programme </w:t>
      </w:r>
    </w:p>
    <w:p w:rsidR="006E607D" w:rsidRPr="007662D9" w:rsidRDefault="006E607D" w:rsidP="006E607D">
      <w:pPr>
        <w:numPr>
          <w:ilvl w:val="0"/>
          <w:numId w:val="6"/>
        </w:numPr>
        <w:autoSpaceDE w:val="0"/>
        <w:autoSpaceDN w:val="0"/>
        <w:adjustRightInd w:val="0"/>
        <w:jc w:val="both"/>
        <w:rPr>
          <w:rFonts w:cs="Arial"/>
          <w:lang w:eastAsia="en-GB"/>
        </w:rPr>
      </w:pPr>
      <w:r w:rsidRPr="007662D9">
        <w:rPr>
          <w:rFonts w:cs="Arial"/>
          <w:lang w:eastAsia="en-GB"/>
        </w:rPr>
        <w:t>Tackling climate change and promote sustainable environmental resource management providing quality through continuous improvement.</w:t>
      </w:r>
    </w:p>
    <w:p w:rsidR="00ED1649" w:rsidRDefault="006E607D" w:rsidP="00ED1649">
      <w:pPr>
        <w:numPr>
          <w:ilvl w:val="0"/>
          <w:numId w:val="6"/>
        </w:numPr>
        <w:autoSpaceDE w:val="0"/>
        <w:autoSpaceDN w:val="0"/>
        <w:adjustRightInd w:val="0"/>
        <w:jc w:val="both"/>
        <w:rPr>
          <w:rFonts w:cs="Arial"/>
          <w:lang w:eastAsia="en-GB"/>
        </w:rPr>
      </w:pPr>
      <w:r w:rsidRPr="007662D9">
        <w:rPr>
          <w:rFonts w:cs="Arial"/>
          <w:lang w:eastAsia="en-GB"/>
        </w:rPr>
        <w:t>Driving value for money by ensuring that the leisure offering is of a high standard and innovative.</w:t>
      </w:r>
    </w:p>
    <w:p w:rsidR="00F528C7" w:rsidRPr="003910DC" w:rsidRDefault="00827B58" w:rsidP="00ED1649">
      <w:pPr>
        <w:numPr>
          <w:ilvl w:val="0"/>
          <w:numId w:val="6"/>
        </w:numPr>
        <w:autoSpaceDE w:val="0"/>
        <w:autoSpaceDN w:val="0"/>
        <w:adjustRightInd w:val="0"/>
        <w:jc w:val="both"/>
        <w:rPr>
          <w:rFonts w:cs="Arial"/>
          <w:lang w:eastAsia="en-GB"/>
        </w:rPr>
      </w:pPr>
      <w:r>
        <w:rPr>
          <w:rFonts w:cs="Arial"/>
          <w:lang w:eastAsia="en-GB"/>
        </w:rPr>
        <w:t xml:space="preserve">Delivering </w:t>
      </w:r>
      <w:r w:rsidR="00A6745F" w:rsidRPr="003910DC">
        <w:rPr>
          <w:rFonts w:cs="Arial"/>
          <w:lang w:eastAsia="en-GB"/>
        </w:rPr>
        <w:t xml:space="preserve">Service Excellence </w:t>
      </w:r>
      <w:r>
        <w:rPr>
          <w:rFonts w:cs="Arial"/>
          <w:lang w:eastAsia="en-GB"/>
        </w:rPr>
        <w:t>by striving to</w:t>
      </w:r>
      <w:r w:rsidR="003910DC">
        <w:t xml:space="preserve"> </w:t>
      </w:r>
      <w:r>
        <w:t>achieve</w:t>
      </w:r>
      <w:r w:rsidR="003910DC">
        <w:t xml:space="preserve"> an excellent customer satisfaction rating of at least 60%.</w:t>
      </w:r>
      <w:r>
        <w:t xml:space="preserve"> (Satisfaction targets were based on at least satisfactory, the plan strives to measure delivery of excellence).</w:t>
      </w:r>
    </w:p>
    <w:p w:rsidR="003910DC" w:rsidRPr="003910DC" w:rsidRDefault="003910DC" w:rsidP="003910DC">
      <w:pPr>
        <w:autoSpaceDE w:val="0"/>
        <w:autoSpaceDN w:val="0"/>
        <w:adjustRightInd w:val="0"/>
        <w:ind w:left="1080"/>
        <w:jc w:val="both"/>
        <w:rPr>
          <w:rFonts w:cs="Arial"/>
          <w:lang w:eastAsia="en-GB"/>
        </w:rPr>
      </w:pPr>
    </w:p>
    <w:p w:rsidR="00ED1649" w:rsidRDefault="00F528C7" w:rsidP="00B756BD">
      <w:pPr>
        <w:pStyle w:val="Default"/>
        <w:numPr>
          <w:ilvl w:val="0"/>
          <w:numId w:val="21"/>
        </w:numPr>
        <w:jc w:val="both"/>
        <w:rPr>
          <w:b/>
          <w:bCs/>
        </w:rPr>
      </w:pPr>
      <w:r w:rsidRPr="009A7185">
        <w:rPr>
          <w:bCs/>
        </w:rPr>
        <w:lastRenderedPageBreak/>
        <w:t xml:space="preserve">This plan is </w:t>
      </w:r>
      <w:r w:rsidR="00025604" w:rsidRPr="00025604">
        <w:rPr>
          <w:bCs/>
        </w:rPr>
        <w:t>presented</w:t>
      </w:r>
      <w:r w:rsidRPr="009A7185">
        <w:rPr>
          <w:bCs/>
        </w:rPr>
        <w:t xml:space="preserve"> following the successful enactment of the 2009 Leisure </w:t>
      </w:r>
      <w:r w:rsidR="00A6745F">
        <w:rPr>
          <w:bCs/>
        </w:rPr>
        <w:t xml:space="preserve">Facilities </w:t>
      </w:r>
      <w:r w:rsidR="00025604" w:rsidRPr="00025604">
        <w:rPr>
          <w:bCs/>
        </w:rPr>
        <w:t>Stra</w:t>
      </w:r>
      <w:r w:rsidR="00025604">
        <w:rPr>
          <w:bCs/>
        </w:rPr>
        <w:t>tegy</w:t>
      </w:r>
      <w:r w:rsidRPr="009A7185">
        <w:rPr>
          <w:bCs/>
        </w:rPr>
        <w:t xml:space="preserve">. The final part of the </w:t>
      </w:r>
      <w:r w:rsidR="00025604" w:rsidRPr="00025604">
        <w:rPr>
          <w:bCs/>
        </w:rPr>
        <w:t>strategy</w:t>
      </w:r>
      <w:r w:rsidRPr="009A7185">
        <w:rPr>
          <w:bCs/>
        </w:rPr>
        <w:t xml:space="preserve"> was the </w:t>
      </w:r>
      <w:r w:rsidR="00A6745F">
        <w:rPr>
          <w:bCs/>
        </w:rPr>
        <w:t>completion</w:t>
      </w:r>
      <w:r w:rsidRPr="009A7185">
        <w:rPr>
          <w:bCs/>
        </w:rPr>
        <w:t xml:space="preserve"> of the Leys Pools and </w:t>
      </w:r>
      <w:r w:rsidR="00025604" w:rsidRPr="00025604">
        <w:rPr>
          <w:bCs/>
        </w:rPr>
        <w:t>Leisure</w:t>
      </w:r>
      <w:r w:rsidRPr="009A7185">
        <w:rPr>
          <w:bCs/>
        </w:rPr>
        <w:t xml:space="preserve"> Centre which is p</w:t>
      </w:r>
      <w:r w:rsidR="00025604">
        <w:rPr>
          <w:bCs/>
        </w:rPr>
        <w:t xml:space="preserve">roving </w:t>
      </w:r>
      <w:r w:rsidRPr="009A7185">
        <w:rPr>
          <w:bCs/>
        </w:rPr>
        <w:t>to be a huge success</w:t>
      </w:r>
      <w:r w:rsidR="00025604">
        <w:rPr>
          <w:bCs/>
        </w:rPr>
        <w:t xml:space="preserve"> with </w:t>
      </w:r>
      <w:r w:rsidR="009A7185">
        <w:rPr>
          <w:bCs/>
        </w:rPr>
        <w:t xml:space="preserve">50,000 visits </w:t>
      </w:r>
      <w:r w:rsidR="000B7161">
        <w:rPr>
          <w:bCs/>
        </w:rPr>
        <w:t xml:space="preserve">taking place </w:t>
      </w:r>
      <w:r w:rsidR="009A7185">
        <w:rPr>
          <w:bCs/>
        </w:rPr>
        <w:t>in the first month of opening</w:t>
      </w:r>
      <w:r w:rsidR="000B7161">
        <w:rPr>
          <w:bCs/>
        </w:rPr>
        <w:t>.</w:t>
      </w:r>
    </w:p>
    <w:p w:rsidR="00F528C7" w:rsidRDefault="00F528C7" w:rsidP="006E607D">
      <w:pPr>
        <w:pStyle w:val="Default"/>
        <w:jc w:val="both"/>
        <w:rPr>
          <w:b/>
          <w:bCs/>
        </w:rPr>
      </w:pPr>
    </w:p>
    <w:p w:rsidR="006E607D" w:rsidRPr="007662D9" w:rsidRDefault="006E607D" w:rsidP="006E607D">
      <w:pPr>
        <w:pStyle w:val="Default"/>
        <w:jc w:val="both"/>
      </w:pPr>
      <w:r w:rsidRPr="007662D9">
        <w:rPr>
          <w:b/>
          <w:bCs/>
        </w:rPr>
        <w:t>Development of the Annual Service Plan</w:t>
      </w:r>
    </w:p>
    <w:p w:rsidR="006E607D" w:rsidRPr="007662D9" w:rsidRDefault="006E607D" w:rsidP="006E607D">
      <w:pPr>
        <w:pStyle w:val="Default"/>
        <w:jc w:val="both"/>
      </w:pPr>
    </w:p>
    <w:p w:rsidR="006E607D" w:rsidRPr="007662D9" w:rsidRDefault="006E607D" w:rsidP="00B756BD">
      <w:pPr>
        <w:pStyle w:val="Default"/>
        <w:numPr>
          <w:ilvl w:val="1"/>
          <w:numId w:val="5"/>
        </w:numPr>
        <w:jc w:val="both"/>
      </w:pPr>
      <w:r>
        <w:t xml:space="preserve">The </w:t>
      </w:r>
      <w:r w:rsidR="008B2016">
        <w:t>2015</w:t>
      </w:r>
      <w:r w:rsidR="008B2016" w:rsidRPr="007662D9">
        <w:t>/1</w:t>
      </w:r>
      <w:r w:rsidR="008B2016">
        <w:t>6</w:t>
      </w:r>
      <w:r w:rsidR="008B2016" w:rsidRPr="007662D9">
        <w:t xml:space="preserve"> </w:t>
      </w:r>
      <w:r>
        <w:t>P</w:t>
      </w:r>
      <w:r w:rsidRPr="007662D9">
        <w:t xml:space="preserve">lan was developed between Fusion and council officers and agreed by the Leisure Partnership Board. The Board consists of representatives from the following groups: </w:t>
      </w:r>
    </w:p>
    <w:p w:rsidR="006E607D" w:rsidRPr="007662D9" w:rsidRDefault="006E607D" w:rsidP="006E607D">
      <w:pPr>
        <w:pStyle w:val="Default"/>
        <w:jc w:val="both"/>
      </w:pPr>
    </w:p>
    <w:p w:rsidR="006E607D" w:rsidRPr="007662D9" w:rsidRDefault="006E607D" w:rsidP="006E607D">
      <w:pPr>
        <w:pStyle w:val="Default"/>
        <w:numPr>
          <w:ilvl w:val="0"/>
          <w:numId w:val="3"/>
        </w:numPr>
        <w:tabs>
          <w:tab w:val="clear" w:pos="720"/>
        </w:tabs>
        <w:ind w:left="1440" w:hanging="720"/>
        <w:jc w:val="both"/>
      </w:pPr>
      <w:r>
        <w:t xml:space="preserve">Customers </w:t>
      </w:r>
    </w:p>
    <w:p w:rsidR="006E607D" w:rsidRDefault="006E607D" w:rsidP="006E607D">
      <w:pPr>
        <w:pStyle w:val="Default"/>
        <w:numPr>
          <w:ilvl w:val="0"/>
          <w:numId w:val="3"/>
        </w:numPr>
        <w:tabs>
          <w:tab w:val="clear" w:pos="720"/>
        </w:tabs>
        <w:ind w:left="1440" w:hanging="720"/>
        <w:jc w:val="both"/>
      </w:pPr>
      <w:r w:rsidRPr="007662D9">
        <w:t xml:space="preserve">Older people </w:t>
      </w:r>
    </w:p>
    <w:p w:rsidR="00F528C7" w:rsidRDefault="00F528C7" w:rsidP="00F528C7">
      <w:pPr>
        <w:pStyle w:val="Default"/>
        <w:numPr>
          <w:ilvl w:val="0"/>
          <w:numId w:val="3"/>
        </w:numPr>
        <w:tabs>
          <w:tab w:val="clear" w:pos="720"/>
        </w:tabs>
        <w:ind w:left="1440" w:hanging="720"/>
        <w:jc w:val="both"/>
      </w:pPr>
      <w:r>
        <w:t xml:space="preserve">Young people </w:t>
      </w:r>
    </w:p>
    <w:p w:rsidR="00F528C7" w:rsidRPr="007662D9" w:rsidRDefault="00F528C7" w:rsidP="00F528C7">
      <w:pPr>
        <w:pStyle w:val="Default"/>
        <w:numPr>
          <w:ilvl w:val="0"/>
          <w:numId w:val="3"/>
        </w:numPr>
        <w:tabs>
          <w:tab w:val="clear" w:pos="720"/>
        </w:tabs>
        <w:ind w:left="1440" w:hanging="720"/>
        <w:jc w:val="both"/>
      </w:pPr>
      <w:r w:rsidRPr="007662D9">
        <w:t>Executive and opposition member for leisure</w:t>
      </w:r>
    </w:p>
    <w:p w:rsidR="006E607D" w:rsidRPr="007662D9" w:rsidRDefault="006E607D" w:rsidP="006E607D">
      <w:pPr>
        <w:pStyle w:val="Default"/>
        <w:numPr>
          <w:ilvl w:val="0"/>
          <w:numId w:val="3"/>
        </w:numPr>
        <w:tabs>
          <w:tab w:val="clear" w:pos="720"/>
        </w:tabs>
        <w:ind w:left="1440" w:hanging="720"/>
        <w:jc w:val="both"/>
      </w:pPr>
      <w:r w:rsidRPr="007662D9">
        <w:t xml:space="preserve">Senior Council and Fusion Officers </w:t>
      </w:r>
    </w:p>
    <w:p w:rsidR="006E607D" w:rsidRPr="007662D9" w:rsidRDefault="006E607D" w:rsidP="006E607D">
      <w:pPr>
        <w:pStyle w:val="Default"/>
        <w:jc w:val="both"/>
      </w:pPr>
    </w:p>
    <w:p w:rsidR="006E607D" w:rsidRPr="007662D9" w:rsidRDefault="006E607D" w:rsidP="006E607D">
      <w:pPr>
        <w:pStyle w:val="Default"/>
        <w:tabs>
          <w:tab w:val="num" w:pos="709"/>
        </w:tabs>
        <w:ind w:left="709"/>
        <w:jc w:val="both"/>
      </w:pPr>
      <w:r w:rsidRPr="007662D9">
        <w:t>The function of the Board is to oversee the delivery of the city’s corporate objective</w:t>
      </w:r>
      <w:r>
        <w:t>s through the leisure contract.</w:t>
      </w:r>
      <w:r w:rsidR="00CC5B69">
        <w:t xml:space="preserve"> </w:t>
      </w:r>
      <w:r w:rsidR="00CC5B69">
        <w:rPr>
          <w:rFonts w:eastAsia="Symbol"/>
        </w:rPr>
        <w:t>An effort has been made to broaden input into the Board and over the last year there has been more attendance and contribution from service users.</w:t>
      </w:r>
    </w:p>
    <w:p w:rsidR="006E607D" w:rsidRPr="007662D9" w:rsidRDefault="006E607D" w:rsidP="006E607D">
      <w:pPr>
        <w:pStyle w:val="Default"/>
        <w:jc w:val="both"/>
      </w:pPr>
    </w:p>
    <w:p w:rsidR="006E607D" w:rsidRPr="007662D9" w:rsidRDefault="006E607D" w:rsidP="006E607D">
      <w:pPr>
        <w:pStyle w:val="Default"/>
        <w:numPr>
          <w:ilvl w:val="1"/>
          <w:numId w:val="5"/>
        </w:numPr>
        <w:tabs>
          <w:tab w:val="clear" w:pos="360"/>
        </w:tabs>
        <w:ind w:left="720" w:hanging="720"/>
        <w:jc w:val="both"/>
      </w:pPr>
      <w:r>
        <w:t>Preparation of the 201</w:t>
      </w:r>
      <w:r w:rsidR="008B2016">
        <w:t>5</w:t>
      </w:r>
      <w:r w:rsidRPr="007662D9">
        <w:t>/1</w:t>
      </w:r>
      <w:r w:rsidR="008B2016">
        <w:t>6</w:t>
      </w:r>
      <w:r w:rsidRPr="007662D9">
        <w:t xml:space="preserve"> Plan has incorporated: </w:t>
      </w:r>
    </w:p>
    <w:p w:rsidR="006E607D" w:rsidRPr="007662D9" w:rsidRDefault="006E607D" w:rsidP="006E607D">
      <w:pPr>
        <w:pStyle w:val="Default"/>
        <w:jc w:val="both"/>
      </w:pPr>
    </w:p>
    <w:p w:rsidR="006E607D" w:rsidRPr="007662D9" w:rsidRDefault="006E607D" w:rsidP="006E607D">
      <w:pPr>
        <w:pStyle w:val="Default"/>
        <w:numPr>
          <w:ilvl w:val="0"/>
          <w:numId w:val="4"/>
        </w:numPr>
        <w:tabs>
          <w:tab w:val="clear" w:pos="720"/>
        </w:tabs>
        <w:ind w:left="1440" w:hanging="720"/>
        <w:jc w:val="both"/>
      </w:pPr>
      <w:r w:rsidRPr="007662D9">
        <w:t>Review of performance from contract commencement</w:t>
      </w:r>
    </w:p>
    <w:p w:rsidR="006E607D" w:rsidRPr="007662D9" w:rsidRDefault="006E607D" w:rsidP="006E607D">
      <w:pPr>
        <w:pStyle w:val="Default"/>
        <w:numPr>
          <w:ilvl w:val="0"/>
          <w:numId w:val="4"/>
        </w:numPr>
        <w:tabs>
          <w:tab w:val="clear" w:pos="720"/>
        </w:tabs>
        <w:ind w:left="1440" w:hanging="720"/>
        <w:jc w:val="both"/>
      </w:pPr>
      <w:r w:rsidRPr="007662D9">
        <w:t>Review of achievements in respect of national and industry relevant benchmarks</w:t>
      </w:r>
    </w:p>
    <w:p w:rsidR="006E607D" w:rsidRPr="007662D9" w:rsidRDefault="006E607D" w:rsidP="006E607D">
      <w:pPr>
        <w:pStyle w:val="Default"/>
        <w:numPr>
          <w:ilvl w:val="0"/>
          <w:numId w:val="4"/>
        </w:numPr>
        <w:tabs>
          <w:tab w:val="clear" w:pos="720"/>
        </w:tabs>
        <w:ind w:left="1440" w:hanging="720"/>
        <w:jc w:val="both"/>
      </w:pPr>
      <w:r w:rsidRPr="007662D9">
        <w:t>Commitments and intentions set out in Fusion Lifestyles tender submission</w:t>
      </w:r>
    </w:p>
    <w:p w:rsidR="006E607D" w:rsidRPr="007662D9" w:rsidRDefault="006E607D" w:rsidP="006E607D">
      <w:pPr>
        <w:pStyle w:val="Default"/>
        <w:numPr>
          <w:ilvl w:val="0"/>
          <w:numId w:val="4"/>
        </w:numPr>
        <w:tabs>
          <w:tab w:val="clear" w:pos="720"/>
        </w:tabs>
        <w:ind w:left="1440" w:hanging="720"/>
        <w:jc w:val="both"/>
      </w:pPr>
      <w:r w:rsidRPr="007662D9">
        <w:t>Liaison with stakeholders</w:t>
      </w:r>
    </w:p>
    <w:p w:rsidR="006E607D" w:rsidRPr="007662D9" w:rsidRDefault="006E607D" w:rsidP="006E607D">
      <w:pPr>
        <w:pStyle w:val="Default"/>
        <w:numPr>
          <w:ilvl w:val="0"/>
          <w:numId w:val="4"/>
        </w:numPr>
        <w:tabs>
          <w:tab w:val="clear" w:pos="720"/>
        </w:tabs>
        <w:ind w:left="1440" w:hanging="720"/>
        <w:jc w:val="both"/>
      </w:pPr>
      <w:r w:rsidRPr="007662D9">
        <w:t xml:space="preserve">Linkage to the Council’s corporate plan </w:t>
      </w:r>
    </w:p>
    <w:p w:rsidR="006E607D" w:rsidRPr="007662D9" w:rsidRDefault="006E607D" w:rsidP="006E607D">
      <w:pPr>
        <w:pStyle w:val="Default"/>
        <w:jc w:val="both"/>
      </w:pPr>
    </w:p>
    <w:p w:rsidR="006E607D" w:rsidRDefault="006E607D" w:rsidP="006E607D">
      <w:pPr>
        <w:pStyle w:val="Default"/>
        <w:numPr>
          <w:ilvl w:val="1"/>
          <w:numId w:val="5"/>
        </w:numPr>
        <w:tabs>
          <w:tab w:val="clear" w:pos="360"/>
          <w:tab w:val="num" w:pos="709"/>
        </w:tabs>
        <w:ind w:left="709" w:hanging="709"/>
        <w:jc w:val="both"/>
      </w:pPr>
      <w:r w:rsidRPr="007662D9">
        <w:t xml:space="preserve">A summary document </w:t>
      </w:r>
      <w:r>
        <w:t xml:space="preserve">will </w:t>
      </w:r>
      <w:r w:rsidRPr="007662D9">
        <w:t>clearly set out the</w:t>
      </w:r>
      <w:r>
        <w:t xml:space="preserve"> Plan </w:t>
      </w:r>
      <w:r w:rsidRPr="007662D9">
        <w:t xml:space="preserve">headlines </w:t>
      </w:r>
      <w:r>
        <w:t xml:space="preserve">and </w:t>
      </w:r>
      <w:r w:rsidRPr="007662D9">
        <w:t>be available to customers, staff and other key stakeholders</w:t>
      </w:r>
      <w:r>
        <w:t>. The document will be printed in a format consistent to previous contract years.</w:t>
      </w:r>
      <w:r w:rsidRPr="007662D9">
        <w:t xml:space="preserve"> (Appendix Two</w:t>
      </w:r>
      <w:r>
        <w:t>, Fusion’s 201</w:t>
      </w:r>
      <w:r w:rsidR="008B2016">
        <w:t>4</w:t>
      </w:r>
      <w:r>
        <w:t>/1</w:t>
      </w:r>
      <w:r w:rsidR="008B2016">
        <w:t>5</w:t>
      </w:r>
      <w:r>
        <w:t xml:space="preserve"> Summary Plan).</w:t>
      </w:r>
    </w:p>
    <w:p w:rsidR="006E607D" w:rsidRDefault="006E607D" w:rsidP="006E607D">
      <w:pPr>
        <w:pStyle w:val="Default"/>
        <w:jc w:val="both"/>
      </w:pPr>
    </w:p>
    <w:p w:rsidR="006D7BDF" w:rsidRDefault="006D7BDF" w:rsidP="008B2016">
      <w:pPr>
        <w:pStyle w:val="Default"/>
        <w:jc w:val="both"/>
        <w:rPr>
          <w:b/>
          <w:bCs/>
        </w:rPr>
      </w:pPr>
    </w:p>
    <w:p w:rsidR="008B2016" w:rsidRPr="007662D9" w:rsidRDefault="008B2016" w:rsidP="008B2016">
      <w:pPr>
        <w:pStyle w:val="Default"/>
        <w:jc w:val="both"/>
      </w:pPr>
      <w:r w:rsidRPr="007662D9">
        <w:rPr>
          <w:b/>
          <w:bCs/>
        </w:rPr>
        <w:t>201</w:t>
      </w:r>
      <w:r>
        <w:rPr>
          <w:b/>
          <w:bCs/>
        </w:rPr>
        <w:t>5</w:t>
      </w:r>
      <w:r w:rsidRPr="007662D9">
        <w:rPr>
          <w:b/>
          <w:bCs/>
        </w:rPr>
        <w:t>/1</w:t>
      </w:r>
      <w:r>
        <w:rPr>
          <w:b/>
          <w:bCs/>
        </w:rPr>
        <w:t>6</w:t>
      </w:r>
      <w:r w:rsidRPr="007662D9">
        <w:rPr>
          <w:b/>
          <w:bCs/>
        </w:rPr>
        <w:t xml:space="preserve"> </w:t>
      </w:r>
      <w:r>
        <w:rPr>
          <w:b/>
          <w:bCs/>
        </w:rPr>
        <w:t xml:space="preserve">Performance </w:t>
      </w:r>
      <w:r w:rsidRPr="007662D9">
        <w:rPr>
          <w:b/>
          <w:bCs/>
        </w:rPr>
        <w:t>Targets</w:t>
      </w:r>
      <w:r>
        <w:rPr>
          <w:b/>
          <w:bCs/>
        </w:rPr>
        <w:t xml:space="preserve"> </w:t>
      </w:r>
      <w:r>
        <w:rPr>
          <w:rStyle w:val="FootnoteReference"/>
          <w:b/>
          <w:bCs/>
        </w:rPr>
        <w:footnoteReference w:id="2"/>
      </w:r>
      <w:r w:rsidRPr="007662D9">
        <w:rPr>
          <w:b/>
          <w:bCs/>
        </w:rPr>
        <w:t xml:space="preserve"> </w:t>
      </w:r>
    </w:p>
    <w:p w:rsidR="008B2016" w:rsidRDefault="008B2016" w:rsidP="008B2016">
      <w:pPr>
        <w:pStyle w:val="Default"/>
        <w:jc w:val="both"/>
      </w:pPr>
    </w:p>
    <w:p w:rsidR="008B2016" w:rsidRPr="007662D9" w:rsidRDefault="008B2016" w:rsidP="00B756BD">
      <w:pPr>
        <w:pStyle w:val="Default"/>
        <w:numPr>
          <w:ilvl w:val="0"/>
          <w:numId w:val="23"/>
        </w:numPr>
        <w:ind w:left="709" w:hanging="709"/>
        <w:jc w:val="both"/>
      </w:pPr>
      <w:r w:rsidRPr="007662D9">
        <w:t xml:space="preserve">Key </w:t>
      </w:r>
      <w:r>
        <w:t>targets committed to in the 201</w:t>
      </w:r>
      <w:r w:rsidR="001C28AF">
        <w:t>5</w:t>
      </w:r>
      <w:r w:rsidRPr="007662D9">
        <w:t xml:space="preserve"> /1</w:t>
      </w:r>
      <w:r w:rsidR="001C28AF">
        <w:t>6</w:t>
      </w:r>
      <w:r w:rsidRPr="007662D9">
        <w:t xml:space="preserve"> Plan include: </w:t>
      </w:r>
    </w:p>
    <w:p w:rsidR="008B2016" w:rsidRPr="007662D9" w:rsidRDefault="008B2016" w:rsidP="008B2016">
      <w:pPr>
        <w:pStyle w:val="Default"/>
        <w:jc w:val="both"/>
      </w:pPr>
    </w:p>
    <w:tbl>
      <w:tblPr>
        <w:tblW w:w="8758" w:type="dxa"/>
        <w:tblBorders>
          <w:insideH w:val="single" w:sz="18" w:space="0" w:color="FFFFFF"/>
          <w:insideV w:val="single" w:sz="18" w:space="0" w:color="FFFFFF"/>
        </w:tblBorders>
        <w:tblLook w:val="01E0" w:firstRow="1" w:lastRow="1" w:firstColumn="1" w:lastColumn="1" w:noHBand="0" w:noVBand="0"/>
      </w:tblPr>
      <w:tblGrid>
        <w:gridCol w:w="5569"/>
        <w:gridCol w:w="1637"/>
        <w:gridCol w:w="1552"/>
      </w:tblGrid>
      <w:tr w:rsidR="008B2016" w:rsidRPr="003648A1" w:rsidTr="001C28AF">
        <w:tc>
          <w:tcPr>
            <w:tcW w:w="5569" w:type="dxa"/>
            <w:shd w:val="pct20" w:color="000000" w:fill="FFFFFF"/>
          </w:tcPr>
          <w:p w:rsidR="008B2016" w:rsidRPr="003648A1" w:rsidRDefault="008B2016" w:rsidP="001C28AF">
            <w:pPr>
              <w:pStyle w:val="Default"/>
              <w:jc w:val="both"/>
              <w:rPr>
                <w:b/>
                <w:bCs/>
              </w:rPr>
            </w:pPr>
            <w:r w:rsidRPr="003648A1">
              <w:rPr>
                <w:b/>
                <w:bCs/>
              </w:rPr>
              <w:t>Key 2013/ 2014 objectives</w:t>
            </w:r>
          </w:p>
        </w:tc>
        <w:tc>
          <w:tcPr>
            <w:tcW w:w="1637" w:type="dxa"/>
            <w:shd w:val="pct20" w:color="000000" w:fill="FFFFFF"/>
          </w:tcPr>
          <w:p w:rsidR="008B2016" w:rsidRPr="003648A1" w:rsidRDefault="008B2016" w:rsidP="008B2016">
            <w:pPr>
              <w:pStyle w:val="Default"/>
              <w:jc w:val="center"/>
              <w:rPr>
                <w:b/>
                <w:bCs/>
              </w:rPr>
            </w:pPr>
            <w:r w:rsidRPr="003648A1">
              <w:rPr>
                <w:b/>
                <w:bCs/>
              </w:rPr>
              <w:t>201</w:t>
            </w:r>
            <w:r>
              <w:rPr>
                <w:b/>
                <w:bCs/>
              </w:rPr>
              <w:t>4/15</w:t>
            </w:r>
            <w:r w:rsidRPr="003648A1">
              <w:rPr>
                <w:b/>
                <w:bCs/>
              </w:rPr>
              <w:t xml:space="preserve"> target</w:t>
            </w:r>
          </w:p>
        </w:tc>
        <w:tc>
          <w:tcPr>
            <w:tcW w:w="1552" w:type="dxa"/>
            <w:shd w:val="pct20" w:color="000000" w:fill="FFFFFF"/>
          </w:tcPr>
          <w:p w:rsidR="008B2016" w:rsidRDefault="008B2016" w:rsidP="008B2016">
            <w:pPr>
              <w:pStyle w:val="Default"/>
              <w:jc w:val="center"/>
              <w:rPr>
                <w:b/>
                <w:bCs/>
              </w:rPr>
            </w:pPr>
            <w:r w:rsidRPr="003648A1">
              <w:rPr>
                <w:b/>
                <w:bCs/>
              </w:rPr>
              <w:t>201</w:t>
            </w:r>
            <w:r>
              <w:rPr>
                <w:b/>
                <w:bCs/>
              </w:rPr>
              <w:t>5</w:t>
            </w:r>
            <w:r w:rsidRPr="003648A1">
              <w:rPr>
                <w:b/>
                <w:bCs/>
              </w:rPr>
              <w:t>/1</w:t>
            </w:r>
            <w:r>
              <w:rPr>
                <w:b/>
                <w:bCs/>
              </w:rPr>
              <w:t>6</w:t>
            </w:r>
            <w:r w:rsidRPr="003648A1">
              <w:rPr>
                <w:b/>
                <w:bCs/>
              </w:rPr>
              <w:t xml:space="preserve"> </w:t>
            </w:r>
            <w:r>
              <w:rPr>
                <w:b/>
                <w:bCs/>
              </w:rPr>
              <w:t>forecast</w:t>
            </w:r>
          </w:p>
          <w:p w:rsidR="008B2016" w:rsidRPr="003648A1" w:rsidRDefault="008B2016" w:rsidP="008B2016">
            <w:pPr>
              <w:pStyle w:val="Default"/>
              <w:jc w:val="center"/>
              <w:rPr>
                <w:b/>
                <w:bCs/>
              </w:rPr>
            </w:pPr>
            <w:r w:rsidRPr="003648A1">
              <w:rPr>
                <w:b/>
                <w:bCs/>
              </w:rPr>
              <w:t>target</w:t>
            </w:r>
          </w:p>
        </w:tc>
      </w:tr>
      <w:tr w:rsidR="008B2016" w:rsidRPr="003648A1" w:rsidTr="001C28AF">
        <w:tc>
          <w:tcPr>
            <w:tcW w:w="5569" w:type="dxa"/>
            <w:shd w:val="pct5" w:color="000000" w:fill="FFFFFF"/>
          </w:tcPr>
          <w:p w:rsidR="008B2016" w:rsidRPr="007662D9" w:rsidRDefault="008B2016" w:rsidP="001C28AF">
            <w:pPr>
              <w:pStyle w:val="Default"/>
              <w:jc w:val="both"/>
            </w:pPr>
            <w:r w:rsidRPr="007662D9">
              <w:t>To reduce the subsidy per user in leisure facilities</w:t>
            </w:r>
          </w:p>
        </w:tc>
        <w:tc>
          <w:tcPr>
            <w:tcW w:w="1637" w:type="dxa"/>
            <w:shd w:val="pct5" w:color="000000" w:fill="FFFFFF"/>
          </w:tcPr>
          <w:p w:rsidR="008B2016" w:rsidRPr="007662D9" w:rsidRDefault="006D7BDF" w:rsidP="001C28AF">
            <w:pPr>
              <w:pStyle w:val="Default"/>
              <w:jc w:val="center"/>
            </w:pPr>
            <w:r>
              <w:t>£0.47</w:t>
            </w:r>
          </w:p>
        </w:tc>
        <w:tc>
          <w:tcPr>
            <w:tcW w:w="1552" w:type="dxa"/>
            <w:shd w:val="pct5" w:color="000000" w:fill="FFFFFF"/>
          </w:tcPr>
          <w:p w:rsidR="008B2016" w:rsidRPr="007662D9" w:rsidRDefault="006D7BDF" w:rsidP="00C6218E">
            <w:pPr>
              <w:pStyle w:val="Default"/>
              <w:jc w:val="center"/>
            </w:pPr>
            <w:r>
              <w:t>£0.08</w:t>
            </w:r>
          </w:p>
        </w:tc>
      </w:tr>
      <w:tr w:rsidR="008B2016" w:rsidRPr="003648A1" w:rsidTr="008B2016">
        <w:trPr>
          <w:trHeight w:val="693"/>
        </w:trPr>
        <w:tc>
          <w:tcPr>
            <w:tcW w:w="5569" w:type="dxa"/>
            <w:shd w:val="pct20" w:color="000000" w:fill="FFFFFF"/>
          </w:tcPr>
          <w:p w:rsidR="008B2016" w:rsidRPr="007662D9" w:rsidRDefault="008B2016" w:rsidP="001C28AF">
            <w:pPr>
              <w:pStyle w:val="Default"/>
              <w:jc w:val="both"/>
            </w:pPr>
            <w:r>
              <w:t>Y</w:t>
            </w:r>
            <w:r w:rsidRPr="007662D9">
              <w:t>ear-on-year increase in participation by users resident in the most deprived wards in the city</w:t>
            </w:r>
          </w:p>
        </w:tc>
        <w:tc>
          <w:tcPr>
            <w:tcW w:w="1637" w:type="dxa"/>
            <w:shd w:val="pct20" w:color="000000" w:fill="FFFFFF"/>
          </w:tcPr>
          <w:p w:rsidR="008B2016" w:rsidRPr="007662D9" w:rsidRDefault="006E5751" w:rsidP="001C28AF">
            <w:pPr>
              <w:pStyle w:val="Default"/>
              <w:jc w:val="center"/>
            </w:pPr>
            <w:r>
              <w:t xml:space="preserve">110,000 </w:t>
            </w:r>
            <w:r w:rsidR="008B2016" w:rsidRPr="007662D9">
              <w:t>visits</w:t>
            </w:r>
          </w:p>
        </w:tc>
        <w:tc>
          <w:tcPr>
            <w:tcW w:w="1552" w:type="dxa"/>
            <w:shd w:val="pct20" w:color="000000" w:fill="FFFFFF"/>
          </w:tcPr>
          <w:p w:rsidR="008B2016" w:rsidRDefault="00663CD6" w:rsidP="001C28AF">
            <w:pPr>
              <w:pStyle w:val="Default"/>
              <w:jc w:val="center"/>
            </w:pPr>
            <w:r>
              <w:t>114,000</w:t>
            </w:r>
          </w:p>
          <w:p w:rsidR="00663CD6" w:rsidRPr="007662D9" w:rsidRDefault="00663CD6" w:rsidP="001C28AF">
            <w:pPr>
              <w:pStyle w:val="Default"/>
              <w:jc w:val="center"/>
            </w:pPr>
            <w:r w:rsidRPr="007662D9">
              <w:t>visits</w:t>
            </w:r>
          </w:p>
        </w:tc>
      </w:tr>
      <w:tr w:rsidR="008B2016" w:rsidRPr="003648A1" w:rsidTr="001C28AF">
        <w:tc>
          <w:tcPr>
            <w:tcW w:w="5569" w:type="dxa"/>
            <w:shd w:val="pct5" w:color="000000" w:fill="FFFFFF"/>
          </w:tcPr>
          <w:p w:rsidR="008B2016" w:rsidRPr="007662D9" w:rsidRDefault="008B2016" w:rsidP="001C28AF">
            <w:pPr>
              <w:pStyle w:val="Default"/>
              <w:jc w:val="both"/>
            </w:pPr>
            <w:r>
              <w:t>Y</w:t>
            </w:r>
            <w:r w:rsidRPr="007662D9">
              <w:t>ear-on-year increase in participation by users aged over 50 years of age</w:t>
            </w:r>
          </w:p>
        </w:tc>
        <w:tc>
          <w:tcPr>
            <w:tcW w:w="1637" w:type="dxa"/>
            <w:shd w:val="pct5" w:color="000000" w:fill="FFFFFF"/>
          </w:tcPr>
          <w:p w:rsidR="008B2016" w:rsidRPr="007662D9" w:rsidRDefault="006E5751" w:rsidP="001C28AF">
            <w:pPr>
              <w:pStyle w:val="Default"/>
              <w:jc w:val="center"/>
            </w:pPr>
            <w:r>
              <w:t xml:space="preserve">91,000 </w:t>
            </w:r>
            <w:r w:rsidR="008B2016" w:rsidRPr="007662D9">
              <w:t>visits</w:t>
            </w:r>
          </w:p>
        </w:tc>
        <w:tc>
          <w:tcPr>
            <w:tcW w:w="1552" w:type="dxa"/>
            <w:shd w:val="pct5" w:color="000000" w:fill="FFFFFF"/>
          </w:tcPr>
          <w:p w:rsidR="008B2016" w:rsidRPr="007662D9" w:rsidRDefault="00663CD6" w:rsidP="001C28AF">
            <w:pPr>
              <w:pStyle w:val="Default"/>
              <w:jc w:val="center"/>
            </w:pPr>
            <w:r>
              <w:t>94,000</w:t>
            </w:r>
          </w:p>
        </w:tc>
      </w:tr>
      <w:tr w:rsidR="008B2016" w:rsidRPr="003648A1" w:rsidTr="001C28AF">
        <w:tc>
          <w:tcPr>
            <w:tcW w:w="5569" w:type="dxa"/>
            <w:shd w:val="pct20" w:color="000000" w:fill="FFFFFF"/>
          </w:tcPr>
          <w:p w:rsidR="008B2016" w:rsidRPr="007662D9" w:rsidRDefault="008B2016" w:rsidP="001C28AF">
            <w:pPr>
              <w:pStyle w:val="Default"/>
              <w:jc w:val="both"/>
            </w:pPr>
            <w:r>
              <w:lastRenderedPageBreak/>
              <w:t>Y</w:t>
            </w:r>
            <w:r w:rsidRPr="007662D9">
              <w:t>ear-on-year increase in participation by Women and girls.</w:t>
            </w:r>
          </w:p>
        </w:tc>
        <w:tc>
          <w:tcPr>
            <w:tcW w:w="1637" w:type="dxa"/>
            <w:shd w:val="pct20" w:color="000000" w:fill="FFFFFF"/>
          </w:tcPr>
          <w:p w:rsidR="008B2016" w:rsidRPr="007662D9" w:rsidRDefault="006E5751" w:rsidP="001C28AF">
            <w:pPr>
              <w:pStyle w:val="Default"/>
              <w:jc w:val="center"/>
            </w:pPr>
            <w:r>
              <w:t xml:space="preserve">452,000 </w:t>
            </w:r>
            <w:r w:rsidR="008B2016" w:rsidRPr="007662D9">
              <w:t>visits</w:t>
            </w:r>
          </w:p>
        </w:tc>
        <w:tc>
          <w:tcPr>
            <w:tcW w:w="1552" w:type="dxa"/>
            <w:shd w:val="pct20" w:color="000000" w:fill="FFFFFF"/>
          </w:tcPr>
          <w:p w:rsidR="008B2016" w:rsidRDefault="00663CD6" w:rsidP="001C28AF">
            <w:pPr>
              <w:pStyle w:val="Default"/>
              <w:jc w:val="center"/>
            </w:pPr>
            <w:r>
              <w:t>466,000</w:t>
            </w:r>
          </w:p>
          <w:p w:rsidR="00663CD6" w:rsidRPr="007662D9" w:rsidRDefault="00663CD6" w:rsidP="001C28AF">
            <w:pPr>
              <w:pStyle w:val="Default"/>
              <w:jc w:val="center"/>
            </w:pPr>
            <w:r w:rsidRPr="007662D9">
              <w:t>visits</w:t>
            </w:r>
          </w:p>
        </w:tc>
      </w:tr>
      <w:tr w:rsidR="008B2016" w:rsidRPr="003648A1" w:rsidTr="001C28AF">
        <w:tc>
          <w:tcPr>
            <w:tcW w:w="5569" w:type="dxa"/>
            <w:shd w:val="pct5" w:color="000000" w:fill="FFFFFF"/>
          </w:tcPr>
          <w:p w:rsidR="008B2016" w:rsidRPr="007662D9" w:rsidRDefault="008B2016" w:rsidP="001C28AF">
            <w:pPr>
              <w:pStyle w:val="Default"/>
              <w:jc w:val="both"/>
            </w:pPr>
            <w:r>
              <w:t>Y</w:t>
            </w:r>
            <w:r w:rsidRPr="007662D9">
              <w:t>ear-on-year increase in part</w:t>
            </w:r>
            <w:r w:rsidR="00CC5B69">
              <w:t>icipation by users aged under 17</w:t>
            </w:r>
            <w:r w:rsidRPr="007662D9">
              <w:t xml:space="preserve"> years.</w:t>
            </w:r>
          </w:p>
        </w:tc>
        <w:tc>
          <w:tcPr>
            <w:tcW w:w="1637" w:type="dxa"/>
            <w:shd w:val="pct5" w:color="000000" w:fill="FFFFFF"/>
          </w:tcPr>
          <w:p w:rsidR="008B2016" w:rsidRPr="007662D9" w:rsidRDefault="006E5751" w:rsidP="001C28AF">
            <w:pPr>
              <w:pStyle w:val="Default"/>
              <w:jc w:val="center"/>
            </w:pPr>
            <w:r>
              <w:t xml:space="preserve">139,000 </w:t>
            </w:r>
            <w:r w:rsidR="008B2016" w:rsidRPr="007662D9">
              <w:t>visits</w:t>
            </w:r>
          </w:p>
        </w:tc>
        <w:tc>
          <w:tcPr>
            <w:tcW w:w="1552" w:type="dxa"/>
            <w:shd w:val="pct5" w:color="000000" w:fill="FFFFFF"/>
          </w:tcPr>
          <w:p w:rsidR="008B2016" w:rsidRDefault="00663CD6" w:rsidP="001C28AF">
            <w:pPr>
              <w:pStyle w:val="Default"/>
              <w:jc w:val="center"/>
            </w:pPr>
            <w:r>
              <w:t>143,000</w:t>
            </w:r>
          </w:p>
          <w:p w:rsidR="00663CD6" w:rsidRPr="007662D9" w:rsidRDefault="00663CD6" w:rsidP="001C28AF">
            <w:pPr>
              <w:pStyle w:val="Default"/>
              <w:jc w:val="center"/>
            </w:pPr>
            <w:r w:rsidRPr="007662D9">
              <w:t>visits</w:t>
            </w:r>
          </w:p>
        </w:tc>
      </w:tr>
      <w:tr w:rsidR="008B2016" w:rsidRPr="003648A1" w:rsidTr="001C28AF">
        <w:tc>
          <w:tcPr>
            <w:tcW w:w="5569" w:type="dxa"/>
            <w:shd w:val="pct20" w:color="000000" w:fill="FFFFFF"/>
          </w:tcPr>
          <w:p w:rsidR="008B2016" w:rsidRPr="007662D9" w:rsidRDefault="008B2016" w:rsidP="001C28AF">
            <w:pPr>
              <w:pStyle w:val="Default"/>
              <w:jc w:val="both"/>
            </w:pPr>
            <w:r>
              <w:t>Y</w:t>
            </w:r>
            <w:r w:rsidRPr="007662D9">
              <w:t>ear-on-year increase in participation by users from Black, Minority and Ethnic groups.</w:t>
            </w:r>
          </w:p>
        </w:tc>
        <w:tc>
          <w:tcPr>
            <w:tcW w:w="1637" w:type="dxa"/>
            <w:shd w:val="pct20" w:color="000000" w:fill="FFFFFF"/>
          </w:tcPr>
          <w:p w:rsidR="008B2016" w:rsidRPr="007662D9" w:rsidRDefault="006E5751" w:rsidP="001C28AF">
            <w:pPr>
              <w:pStyle w:val="Default"/>
              <w:jc w:val="center"/>
            </w:pPr>
            <w:r>
              <w:t xml:space="preserve">85,000 </w:t>
            </w:r>
            <w:r w:rsidR="008B2016" w:rsidRPr="007662D9">
              <w:t>visits</w:t>
            </w:r>
          </w:p>
        </w:tc>
        <w:tc>
          <w:tcPr>
            <w:tcW w:w="1552" w:type="dxa"/>
            <w:shd w:val="pct20" w:color="000000" w:fill="FFFFFF"/>
          </w:tcPr>
          <w:p w:rsidR="00663CD6" w:rsidRDefault="00663CD6" w:rsidP="001C28AF">
            <w:pPr>
              <w:pStyle w:val="Default"/>
              <w:jc w:val="center"/>
            </w:pPr>
            <w:r>
              <w:t>88,000</w:t>
            </w:r>
          </w:p>
          <w:p w:rsidR="008B2016" w:rsidRPr="007662D9" w:rsidRDefault="00663CD6" w:rsidP="001C28AF">
            <w:pPr>
              <w:pStyle w:val="Default"/>
              <w:jc w:val="center"/>
            </w:pPr>
            <w:r w:rsidRPr="007662D9">
              <w:t>visits</w:t>
            </w:r>
          </w:p>
        </w:tc>
      </w:tr>
      <w:tr w:rsidR="008B2016" w:rsidRPr="003648A1" w:rsidTr="001C28AF">
        <w:tc>
          <w:tcPr>
            <w:tcW w:w="5569" w:type="dxa"/>
            <w:shd w:val="pct5" w:color="000000" w:fill="FFFFFF"/>
          </w:tcPr>
          <w:p w:rsidR="008B2016" w:rsidRPr="007662D9" w:rsidRDefault="008B2016" w:rsidP="001C28AF">
            <w:pPr>
              <w:pStyle w:val="Default"/>
              <w:jc w:val="both"/>
            </w:pPr>
            <w:r>
              <w:t>Y</w:t>
            </w:r>
            <w:r w:rsidRPr="007662D9">
              <w:t>ear-on-year increase in participation by disabled users.</w:t>
            </w:r>
          </w:p>
        </w:tc>
        <w:tc>
          <w:tcPr>
            <w:tcW w:w="1637" w:type="dxa"/>
            <w:shd w:val="pct5" w:color="000000" w:fill="FFFFFF"/>
          </w:tcPr>
          <w:p w:rsidR="008B2016" w:rsidRPr="007662D9" w:rsidRDefault="006E5751" w:rsidP="001C28AF">
            <w:pPr>
              <w:pStyle w:val="Default"/>
              <w:jc w:val="center"/>
            </w:pPr>
            <w:r>
              <w:t xml:space="preserve">15,000 </w:t>
            </w:r>
            <w:r w:rsidR="008B2016" w:rsidRPr="007662D9">
              <w:t>visits</w:t>
            </w:r>
          </w:p>
        </w:tc>
        <w:tc>
          <w:tcPr>
            <w:tcW w:w="1552" w:type="dxa"/>
            <w:shd w:val="pct5" w:color="000000" w:fill="FFFFFF"/>
          </w:tcPr>
          <w:p w:rsidR="008B2016" w:rsidRPr="007662D9" w:rsidRDefault="00663CD6" w:rsidP="001C28AF">
            <w:pPr>
              <w:pStyle w:val="Default"/>
              <w:jc w:val="center"/>
            </w:pPr>
            <w:r>
              <w:t xml:space="preserve">16,000 </w:t>
            </w:r>
            <w:r w:rsidRPr="007662D9">
              <w:t>visits</w:t>
            </w:r>
          </w:p>
        </w:tc>
      </w:tr>
      <w:tr w:rsidR="003910DC" w:rsidRPr="003648A1" w:rsidTr="001C28AF">
        <w:tc>
          <w:tcPr>
            <w:tcW w:w="5569" w:type="dxa"/>
            <w:shd w:val="pct20" w:color="000000" w:fill="FFFFFF"/>
          </w:tcPr>
          <w:p w:rsidR="003910DC" w:rsidRPr="003910DC" w:rsidRDefault="003910DC" w:rsidP="003910DC">
            <w:pPr>
              <w:jc w:val="both"/>
              <w:rPr>
                <w:rFonts w:cs="Arial"/>
                <w:bCs/>
              </w:rPr>
            </w:pPr>
            <w:r w:rsidRPr="003910DC">
              <w:rPr>
                <w:rFonts w:cs="Arial"/>
                <w:bCs/>
              </w:rPr>
              <w:t xml:space="preserve">To maintain customer satisfaction levels at leisure facilities above 95% </w:t>
            </w:r>
            <w:r w:rsidR="00827B58">
              <w:rPr>
                <w:rFonts w:cs="Arial"/>
                <w:bCs/>
              </w:rPr>
              <w:t>(</w:t>
            </w:r>
            <w:r w:rsidRPr="003910DC">
              <w:rPr>
                <w:rFonts w:cs="Arial"/>
                <w:bCs/>
              </w:rPr>
              <w:t>G</w:t>
            </w:r>
            <w:r w:rsidR="00827B58">
              <w:rPr>
                <w:rFonts w:cs="Arial"/>
                <w:bCs/>
              </w:rPr>
              <w:t>ood, Satisfactory, Excellent).</w:t>
            </w:r>
          </w:p>
          <w:p w:rsidR="003910DC" w:rsidRDefault="003910DC" w:rsidP="00663CD6">
            <w:pPr>
              <w:pStyle w:val="Default"/>
              <w:jc w:val="both"/>
            </w:pPr>
          </w:p>
        </w:tc>
        <w:tc>
          <w:tcPr>
            <w:tcW w:w="1637" w:type="dxa"/>
            <w:shd w:val="pct20" w:color="000000" w:fill="FFFFFF"/>
          </w:tcPr>
          <w:p w:rsidR="003910DC" w:rsidRDefault="003910DC" w:rsidP="001C28AF">
            <w:pPr>
              <w:pStyle w:val="Default"/>
              <w:jc w:val="center"/>
            </w:pPr>
            <w:r>
              <w:t>98%</w:t>
            </w:r>
          </w:p>
        </w:tc>
        <w:tc>
          <w:tcPr>
            <w:tcW w:w="1552" w:type="dxa"/>
            <w:shd w:val="pct20" w:color="000000" w:fill="FFFFFF"/>
          </w:tcPr>
          <w:p w:rsidR="003910DC" w:rsidRDefault="00827B58" w:rsidP="001C28AF">
            <w:pPr>
              <w:pStyle w:val="Default"/>
              <w:jc w:val="center"/>
            </w:pPr>
            <w:r>
              <w:t xml:space="preserve">At least </w:t>
            </w:r>
            <w:r w:rsidR="003910DC">
              <w:t>95%</w:t>
            </w:r>
          </w:p>
        </w:tc>
      </w:tr>
      <w:tr w:rsidR="008B2016" w:rsidRPr="003648A1" w:rsidTr="001C28AF">
        <w:tc>
          <w:tcPr>
            <w:tcW w:w="5569" w:type="dxa"/>
            <w:shd w:val="pct20" w:color="000000" w:fill="FFFFFF"/>
          </w:tcPr>
          <w:p w:rsidR="008B2016" w:rsidRPr="007662D9" w:rsidRDefault="003910DC" w:rsidP="003910DC">
            <w:pPr>
              <w:pStyle w:val="Default"/>
              <w:jc w:val="both"/>
            </w:pPr>
            <w:r>
              <w:t xml:space="preserve">Striving for excellence </w:t>
            </w:r>
            <w:r w:rsidR="00827B58">
              <w:t xml:space="preserve">with the </w:t>
            </w:r>
            <w:r>
              <w:t>a</w:t>
            </w:r>
            <w:r w:rsidR="006E5751">
              <w:t xml:space="preserve">im on achieving </w:t>
            </w:r>
            <w:r w:rsidR="00663CD6">
              <w:t xml:space="preserve">an excellent </w:t>
            </w:r>
            <w:r w:rsidR="006E5751">
              <w:t>customer satisfaction rating</w:t>
            </w:r>
            <w:r w:rsidR="00827B58">
              <w:t>.</w:t>
            </w:r>
            <w:r w:rsidR="00827B58">
              <w:rPr>
                <w:rStyle w:val="FootnoteReference"/>
              </w:rPr>
              <w:footnoteReference w:id="3"/>
            </w:r>
            <w:r w:rsidR="006E5751">
              <w:t xml:space="preserve"> </w:t>
            </w:r>
          </w:p>
        </w:tc>
        <w:tc>
          <w:tcPr>
            <w:tcW w:w="1637" w:type="dxa"/>
            <w:shd w:val="pct20" w:color="000000" w:fill="FFFFFF"/>
          </w:tcPr>
          <w:p w:rsidR="008B2016" w:rsidRPr="007662D9" w:rsidRDefault="00663CD6" w:rsidP="00827B58">
            <w:pPr>
              <w:pStyle w:val="Default"/>
              <w:jc w:val="center"/>
            </w:pPr>
            <w:r>
              <w:t xml:space="preserve">New </w:t>
            </w:r>
          </w:p>
        </w:tc>
        <w:tc>
          <w:tcPr>
            <w:tcW w:w="1552" w:type="dxa"/>
            <w:shd w:val="pct20" w:color="000000" w:fill="FFFFFF"/>
          </w:tcPr>
          <w:p w:rsidR="008B2016" w:rsidRPr="007662D9" w:rsidRDefault="00663CD6" w:rsidP="001C28AF">
            <w:pPr>
              <w:pStyle w:val="Default"/>
              <w:jc w:val="center"/>
            </w:pPr>
            <w:r>
              <w:t>60%</w:t>
            </w:r>
          </w:p>
        </w:tc>
      </w:tr>
      <w:tr w:rsidR="008B2016" w:rsidRPr="003648A1" w:rsidTr="001C28AF">
        <w:tc>
          <w:tcPr>
            <w:tcW w:w="5569" w:type="dxa"/>
            <w:shd w:val="pct5" w:color="000000" w:fill="FFFFFF"/>
          </w:tcPr>
          <w:p w:rsidR="008B2016" w:rsidRPr="003648A1" w:rsidRDefault="008B2016" w:rsidP="001C28AF">
            <w:pPr>
              <w:jc w:val="both"/>
              <w:rPr>
                <w:rFonts w:cs="Arial"/>
                <w:lang w:eastAsia="en-GB"/>
              </w:rPr>
            </w:pPr>
            <w:r w:rsidRPr="003648A1">
              <w:rPr>
                <w:rFonts w:cs="Arial"/>
                <w:lang w:eastAsia="en-GB"/>
              </w:rPr>
              <w:t xml:space="preserve">To </w:t>
            </w:r>
            <w:r>
              <w:rPr>
                <w:rFonts w:cs="Arial"/>
                <w:lang w:eastAsia="en-GB"/>
              </w:rPr>
              <w:t xml:space="preserve">retain </w:t>
            </w:r>
            <w:r w:rsidRPr="003648A1">
              <w:rPr>
                <w:rFonts w:cs="Arial"/>
                <w:lang w:eastAsia="en-GB"/>
              </w:rPr>
              <w:t xml:space="preserve">Quest accreditation at five facilities at least “good” level </w:t>
            </w:r>
          </w:p>
        </w:tc>
        <w:tc>
          <w:tcPr>
            <w:tcW w:w="1637" w:type="dxa"/>
            <w:shd w:val="pct5" w:color="000000" w:fill="FFFFFF"/>
            <w:vAlign w:val="center"/>
          </w:tcPr>
          <w:p w:rsidR="008B2016" w:rsidRPr="003648A1" w:rsidRDefault="008B2016" w:rsidP="001C28AF">
            <w:pPr>
              <w:pStyle w:val="CharChar1CharCharCharCharCharCharChar"/>
              <w:jc w:val="center"/>
              <w:rPr>
                <w:rFonts w:ascii="Arial" w:hAnsi="Arial" w:cs="Arial"/>
              </w:rPr>
            </w:pPr>
            <w:r w:rsidRPr="003648A1">
              <w:rPr>
                <w:rFonts w:ascii="Arial" w:hAnsi="Arial" w:cs="Arial"/>
              </w:rPr>
              <w:t>5 facilities</w:t>
            </w:r>
          </w:p>
        </w:tc>
        <w:tc>
          <w:tcPr>
            <w:tcW w:w="1552" w:type="dxa"/>
            <w:shd w:val="pct5" w:color="000000" w:fill="FFFFFF"/>
            <w:vAlign w:val="center"/>
          </w:tcPr>
          <w:p w:rsidR="008B2016" w:rsidRPr="007662D9" w:rsidRDefault="008B2016" w:rsidP="001C28AF">
            <w:pPr>
              <w:pStyle w:val="Default"/>
              <w:jc w:val="center"/>
            </w:pPr>
            <w:r w:rsidRPr="007662D9">
              <w:t>5 facilities</w:t>
            </w:r>
          </w:p>
          <w:p w:rsidR="008B2016" w:rsidRPr="007662D9" w:rsidRDefault="008B2016" w:rsidP="001C28AF">
            <w:pPr>
              <w:pStyle w:val="Default"/>
              <w:jc w:val="center"/>
            </w:pPr>
          </w:p>
        </w:tc>
      </w:tr>
      <w:tr w:rsidR="008B2016" w:rsidRPr="003648A1" w:rsidTr="001C28AF">
        <w:tc>
          <w:tcPr>
            <w:tcW w:w="5569" w:type="dxa"/>
            <w:shd w:val="pct20" w:color="000000" w:fill="FFFFFF"/>
          </w:tcPr>
          <w:p w:rsidR="008B2016" w:rsidRPr="007662D9" w:rsidRDefault="008B2016" w:rsidP="001C28AF">
            <w:pPr>
              <w:pStyle w:val="Default"/>
              <w:jc w:val="both"/>
            </w:pPr>
            <w:r>
              <w:t>R</w:t>
            </w:r>
            <w:r w:rsidRPr="007662D9">
              <w:t>educ</w:t>
            </w:r>
            <w:r>
              <w:t>e</w:t>
            </w:r>
            <w:r w:rsidRPr="007662D9">
              <w:t xml:space="preserve"> utility consumption against the 201</w:t>
            </w:r>
            <w:r>
              <w:t>3</w:t>
            </w:r>
            <w:r w:rsidRPr="007662D9">
              <w:t>/1</w:t>
            </w:r>
            <w:r>
              <w:t>4</w:t>
            </w:r>
            <w:r w:rsidRPr="007662D9">
              <w:t xml:space="preserve"> baseline.</w:t>
            </w:r>
          </w:p>
        </w:tc>
        <w:tc>
          <w:tcPr>
            <w:tcW w:w="1637" w:type="dxa"/>
            <w:shd w:val="pct20" w:color="000000" w:fill="FFFFFF"/>
          </w:tcPr>
          <w:p w:rsidR="008B2016" w:rsidRPr="007662D9" w:rsidRDefault="008B2016" w:rsidP="001C28AF">
            <w:pPr>
              <w:pStyle w:val="Default"/>
              <w:jc w:val="center"/>
            </w:pPr>
          </w:p>
          <w:p w:rsidR="008B2016" w:rsidRPr="007662D9" w:rsidRDefault="008B2016" w:rsidP="001C28AF">
            <w:pPr>
              <w:pStyle w:val="Default"/>
              <w:jc w:val="center"/>
            </w:pPr>
            <w:r>
              <w:t>2</w:t>
            </w:r>
            <w:r w:rsidRPr="007662D9">
              <w:t xml:space="preserve"> per cent</w:t>
            </w:r>
          </w:p>
        </w:tc>
        <w:tc>
          <w:tcPr>
            <w:tcW w:w="1552" w:type="dxa"/>
            <w:shd w:val="pct20" w:color="000000" w:fill="FFFFFF"/>
          </w:tcPr>
          <w:p w:rsidR="008B2016" w:rsidRPr="007662D9" w:rsidRDefault="008B2016" w:rsidP="001C28AF">
            <w:pPr>
              <w:pStyle w:val="Default"/>
              <w:jc w:val="center"/>
            </w:pPr>
          </w:p>
          <w:p w:rsidR="008B2016" w:rsidRPr="007662D9" w:rsidRDefault="008B2016" w:rsidP="001C28AF">
            <w:pPr>
              <w:pStyle w:val="Default"/>
              <w:jc w:val="center"/>
            </w:pPr>
            <w:r w:rsidRPr="007662D9">
              <w:t>2 per cent</w:t>
            </w:r>
          </w:p>
        </w:tc>
      </w:tr>
    </w:tbl>
    <w:p w:rsidR="00F528C7" w:rsidRPr="000B7161" w:rsidRDefault="00F528C7" w:rsidP="008B2016">
      <w:pPr>
        <w:pStyle w:val="Default"/>
        <w:jc w:val="both"/>
        <w:rPr>
          <w:bCs/>
        </w:rPr>
      </w:pPr>
    </w:p>
    <w:p w:rsidR="00F528C7" w:rsidRPr="000B7161" w:rsidRDefault="000B7161" w:rsidP="008B2016">
      <w:pPr>
        <w:pStyle w:val="Default"/>
        <w:jc w:val="both"/>
        <w:rPr>
          <w:bCs/>
        </w:rPr>
      </w:pPr>
      <w:r>
        <w:rPr>
          <w:bCs/>
        </w:rPr>
        <w:t>(</w:t>
      </w:r>
      <w:r w:rsidR="009A7185" w:rsidRPr="000B7161">
        <w:rPr>
          <w:bCs/>
        </w:rPr>
        <w:t>Note: 201</w:t>
      </w:r>
      <w:r w:rsidR="00A85279">
        <w:rPr>
          <w:bCs/>
        </w:rPr>
        <w:t>4</w:t>
      </w:r>
      <w:r w:rsidR="009A7185" w:rsidRPr="000B7161">
        <w:rPr>
          <w:bCs/>
        </w:rPr>
        <w:t>/1</w:t>
      </w:r>
      <w:r w:rsidR="00A85279">
        <w:rPr>
          <w:bCs/>
        </w:rPr>
        <w:t>5</w:t>
      </w:r>
      <w:r w:rsidR="009A7185" w:rsidRPr="000B7161">
        <w:rPr>
          <w:bCs/>
        </w:rPr>
        <w:t xml:space="preserve"> usage from Temple Cowley Pool and Blackbird Leys Pool will be added to the target for Leys Pools and Leisure Centre, 2015/16</w:t>
      </w:r>
      <w:r>
        <w:rPr>
          <w:bCs/>
        </w:rPr>
        <w:t>).</w:t>
      </w:r>
    </w:p>
    <w:p w:rsidR="00F528C7" w:rsidRDefault="00F528C7" w:rsidP="008B2016">
      <w:pPr>
        <w:pStyle w:val="Default"/>
        <w:jc w:val="both"/>
        <w:rPr>
          <w:b/>
          <w:bCs/>
        </w:rPr>
      </w:pPr>
    </w:p>
    <w:p w:rsidR="008B2016" w:rsidRPr="007662D9" w:rsidRDefault="008B2016" w:rsidP="008B2016">
      <w:pPr>
        <w:pStyle w:val="Default"/>
        <w:jc w:val="both"/>
      </w:pPr>
      <w:r w:rsidRPr="007662D9">
        <w:rPr>
          <w:b/>
          <w:bCs/>
        </w:rPr>
        <w:t xml:space="preserve">Performance management </w:t>
      </w:r>
    </w:p>
    <w:p w:rsidR="008B2016" w:rsidRPr="007662D9" w:rsidRDefault="008B2016" w:rsidP="008B2016">
      <w:pPr>
        <w:pStyle w:val="Default"/>
        <w:jc w:val="both"/>
      </w:pPr>
    </w:p>
    <w:p w:rsidR="008B2016" w:rsidRDefault="008B2016" w:rsidP="00B756BD">
      <w:pPr>
        <w:pStyle w:val="Default"/>
        <w:numPr>
          <w:ilvl w:val="0"/>
          <w:numId w:val="23"/>
        </w:numPr>
        <w:jc w:val="both"/>
      </w:pPr>
      <w:r w:rsidRPr="007662D9">
        <w:t>There will be an on-going review and monitoring process for the plan. This will incorporate management scrutiny, monthly client performance reports, monthly meetings between key representatives of the Council and Fusion, quarterly Leisure Partnership Board meetings and a formal review in advance of the 201</w:t>
      </w:r>
      <w:r>
        <w:t>5</w:t>
      </w:r>
      <w:r w:rsidRPr="007662D9">
        <w:t>/1</w:t>
      </w:r>
      <w:r>
        <w:t>6</w:t>
      </w:r>
      <w:r w:rsidRPr="007662D9">
        <w:t xml:space="preserve"> planning pro</w:t>
      </w:r>
      <w:r>
        <w:t>cess</w:t>
      </w:r>
      <w:r w:rsidRPr="007662D9">
        <w:t>.</w:t>
      </w:r>
    </w:p>
    <w:p w:rsidR="006D7BDF" w:rsidRDefault="006D7BDF" w:rsidP="00B30D66">
      <w:pPr>
        <w:pStyle w:val="Default"/>
        <w:jc w:val="both"/>
      </w:pPr>
    </w:p>
    <w:p w:rsidR="007B6E54" w:rsidRPr="00B30D66" w:rsidRDefault="007B6E54" w:rsidP="00B30D66">
      <w:pPr>
        <w:rPr>
          <w:rFonts w:cs="Arial"/>
          <w:b/>
        </w:rPr>
      </w:pPr>
      <w:r w:rsidRPr="00B30D66">
        <w:rPr>
          <w:rFonts w:cs="Arial"/>
          <w:b/>
        </w:rPr>
        <w:t>Legal Issues</w:t>
      </w:r>
    </w:p>
    <w:p w:rsidR="007B6E54" w:rsidRDefault="007B6E54">
      <w:pPr>
        <w:rPr>
          <w:rFonts w:cs="Arial"/>
        </w:rPr>
      </w:pPr>
    </w:p>
    <w:p w:rsidR="005F3E92" w:rsidRPr="00B756BD" w:rsidRDefault="00663CD6" w:rsidP="00B756BD">
      <w:pPr>
        <w:pStyle w:val="ListParagraph"/>
        <w:numPr>
          <w:ilvl w:val="0"/>
          <w:numId w:val="23"/>
        </w:numPr>
        <w:rPr>
          <w:color w:val="000000"/>
        </w:rPr>
      </w:pPr>
      <w:r w:rsidRPr="007662D9">
        <w:t>The Council has a contractual relationship under which the council’s leisure facilities are managed by Fusion. The Leisure Management Agreement sets out the range of contractual requirements</w:t>
      </w:r>
      <w:r w:rsidR="00C21E4F">
        <w:t xml:space="preserve"> with which Fusion must comply. </w:t>
      </w:r>
      <w:r w:rsidR="00C21E4F" w:rsidRPr="00B756BD">
        <w:rPr>
          <w:color w:val="000000"/>
        </w:rPr>
        <w:t xml:space="preserve">Fusion’s delivery of the </w:t>
      </w:r>
      <w:r w:rsidR="00C21E4F" w:rsidRPr="00B756BD">
        <w:rPr>
          <w:iCs/>
          <w:color w:val="000000"/>
        </w:rPr>
        <w:t>Service</w:t>
      </w:r>
      <w:r w:rsidR="00C21E4F" w:rsidRPr="00B756BD">
        <w:rPr>
          <w:color w:val="000000"/>
        </w:rPr>
        <w:t xml:space="preserve"> Plan is a contractual commitment.</w:t>
      </w:r>
    </w:p>
    <w:p w:rsidR="006D7BDF" w:rsidRDefault="006D7BDF" w:rsidP="00C21E4F">
      <w:pPr>
        <w:ind w:left="709" w:hanging="709"/>
        <w:rPr>
          <w:rFonts w:cs="Arial"/>
        </w:rPr>
      </w:pPr>
    </w:p>
    <w:p w:rsidR="007B6E54" w:rsidRPr="00B30D66" w:rsidRDefault="007B6E54" w:rsidP="00B30D66">
      <w:pPr>
        <w:rPr>
          <w:rFonts w:cs="Arial"/>
          <w:b/>
        </w:rPr>
      </w:pPr>
      <w:r w:rsidRPr="00B30D66">
        <w:rPr>
          <w:rFonts w:cs="Arial"/>
          <w:b/>
        </w:rPr>
        <w:t>Financial Issues</w:t>
      </w:r>
    </w:p>
    <w:p w:rsidR="007B6E54" w:rsidRDefault="007B6E54">
      <w:pPr>
        <w:rPr>
          <w:rFonts w:cs="Arial"/>
        </w:rPr>
      </w:pPr>
    </w:p>
    <w:p w:rsidR="001C28AF" w:rsidRPr="00B756BD" w:rsidRDefault="005F3E92" w:rsidP="00B756BD">
      <w:pPr>
        <w:pStyle w:val="ListParagraph"/>
        <w:numPr>
          <w:ilvl w:val="0"/>
          <w:numId w:val="23"/>
        </w:numPr>
        <w:rPr>
          <w:rFonts w:cs="Arial"/>
        </w:rPr>
      </w:pPr>
      <w:r>
        <w:t>S</w:t>
      </w:r>
      <w:r w:rsidRPr="007662D9">
        <w:t xml:space="preserve">avings </w:t>
      </w:r>
      <w:r>
        <w:t xml:space="preserve">from the contract with Fusion </w:t>
      </w:r>
      <w:r w:rsidRPr="007662D9">
        <w:t>are already reflected in the council’s budget and the risk for achieving these is</w:t>
      </w:r>
      <w:r>
        <w:t xml:space="preserve"> </w:t>
      </w:r>
      <w:r w:rsidRPr="007662D9">
        <w:t>Fusions. The management agreement also contains provisions to share profits that are made above those agreed when the contract was agreed</w:t>
      </w:r>
      <w:r>
        <w:t>.</w:t>
      </w:r>
      <w:r w:rsidR="001C28AF" w:rsidRPr="00B756BD">
        <w:rPr>
          <w:rFonts w:cs="Arial"/>
        </w:rPr>
        <w:t xml:space="preserve"> </w:t>
      </w:r>
    </w:p>
    <w:p w:rsidR="005F3E92" w:rsidRDefault="005F3E92">
      <w:pPr>
        <w:rPr>
          <w:rFonts w:cs="Arial"/>
        </w:rPr>
      </w:pPr>
    </w:p>
    <w:p w:rsidR="007B6E54" w:rsidRPr="00B30D66" w:rsidRDefault="007B6E54" w:rsidP="00B30D66">
      <w:pPr>
        <w:rPr>
          <w:rFonts w:cs="Arial"/>
          <w:b/>
        </w:rPr>
      </w:pPr>
      <w:r w:rsidRPr="00B30D66">
        <w:rPr>
          <w:rFonts w:cs="Arial"/>
          <w:b/>
        </w:rPr>
        <w:t>Environmental Impact</w:t>
      </w:r>
    </w:p>
    <w:p w:rsidR="007B6E54" w:rsidRPr="001C28AF" w:rsidRDefault="007B6E54">
      <w:pPr>
        <w:rPr>
          <w:rFonts w:cs="Arial"/>
        </w:rPr>
      </w:pPr>
    </w:p>
    <w:p w:rsidR="00FE4642" w:rsidRPr="00B30D66" w:rsidRDefault="006E5751" w:rsidP="00B30D66">
      <w:pPr>
        <w:pStyle w:val="Default"/>
        <w:numPr>
          <w:ilvl w:val="0"/>
          <w:numId w:val="23"/>
        </w:numPr>
        <w:tabs>
          <w:tab w:val="left" w:pos="0"/>
        </w:tabs>
        <w:jc w:val="both"/>
      </w:pPr>
      <w:r w:rsidRPr="007662D9">
        <w:t>The Plan has targets and actions that will have a positive environmental impact. These contribute to the Council’s commitment for tackling climate change</w:t>
      </w:r>
      <w:r>
        <w:t xml:space="preserve">, </w:t>
      </w:r>
      <w:r w:rsidRPr="007662D9">
        <w:t xml:space="preserve">promoting </w:t>
      </w:r>
      <w:r w:rsidRPr="007662D9">
        <w:lastRenderedPageBreak/>
        <w:t>sustainabl</w:t>
      </w:r>
      <w:r>
        <w:t xml:space="preserve">e environmental resources, and </w:t>
      </w:r>
      <w:r w:rsidRPr="007662D9">
        <w:t xml:space="preserve">to the reduction of carbon and water. Actions within the Plan </w:t>
      </w:r>
      <w:r>
        <w:t xml:space="preserve">support </w:t>
      </w:r>
      <w:r w:rsidRPr="007662D9">
        <w:t>the Council’s Carbon Management Plan</w:t>
      </w:r>
      <w:r w:rsidR="00F528C7">
        <w:t>.</w:t>
      </w:r>
    </w:p>
    <w:p w:rsidR="00FE4642" w:rsidRPr="001C28AF" w:rsidRDefault="00FE4642">
      <w:pPr>
        <w:rPr>
          <w:rFonts w:cs="Arial"/>
        </w:rPr>
      </w:pPr>
    </w:p>
    <w:p w:rsidR="007B6E54" w:rsidRPr="00B756BD" w:rsidRDefault="007B6E54" w:rsidP="00B756BD">
      <w:pPr>
        <w:pStyle w:val="ListParagraph"/>
        <w:ind w:left="360"/>
        <w:rPr>
          <w:rFonts w:cs="Arial"/>
        </w:rPr>
      </w:pPr>
      <w:r w:rsidRPr="00B756BD">
        <w:rPr>
          <w:rFonts w:cs="Arial"/>
          <w:b/>
        </w:rPr>
        <w:t>Level of Risk</w:t>
      </w:r>
    </w:p>
    <w:p w:rsidR="001C28AF" w:rsidRDefault="001C28AF" w:rsidP="001C28AF">
      <w:pPr>
        <w:pStyle w:val="Default"/>
        <w:ind w:left="720" w:hanging="720"/>
        <w:jc w:val="both"/>
      </w:pPr>
    </w:p>
    <w:p w:rsidR="001C28AF" w:rsidRPr="007662D9" w:rsidRDefault="001C28AF" w:rsidP="00B756BD">
      <w:pPr>
        <w:pStyle w:val="Default"/>
        <w:numPr>
          <w:ilvl w:val="0"/>
          <w:numId w:val="23"/>
        </w:numPr>
        <w:jc w:val="both"/>
      </w:pPr>
      <w:r w:rsidRPr="007662D9">
        <w:t>There is a medium level of risk to service provision. Descriptions and mitigation for this level of risk are demonstrated in the Risk Register, (Appendix T</w:t>
      </w:r>
      <w:r w:rsidR="00B30D66">
        <w:t>wo</w:t>
      </w:r>
      <w:r w:rsidRPr="007662D9">
        <w:t xml:space="preserve">). </w:t>
      </w:r>
    </w:p>
    <w:p w:rsidR="007B6E54" w:rsidRDefault="007B6E54">
      <w:pPr>
        <w:rPr>
          <w:rFonts w:cs="Arial"/>
          <w:b/>
        </w:rPr>
      </w:pPr>
    </w:p>
    <w:p w:rsidR="006E5751" w:rsidRPr="00B756BD" w:rsidRDefault="007B6E54" w:rsidP="00B756BD">
      <w:pPr>
        <w:pStyle w:val="ListParagraph"/>
        <w:ind w:left="360"/>
        <w:rPr>
          <w:rFonts w:cs="Arial"/>
          <w:b/>
        </w:rPr>
      </w:pPr>
      <w:r w:rsidRPr="00B756BD">
        <w:rPr>
          <w:rFonts w:cs="Arial"/>
          <w:b/>
        </w:rPr>
        <w:t>Equalities Impact</w:t>
      </w:r>
    </w:p>
    <w:p w:rsidR="00ED1649" w:rsidRDefault="00ED1649">
      <w:pPr>
        <w:rPr>
          <w:rFonts w:cs="Arial"/>
          <w:b/>
        </w:rPr>
      </w:pPr>
    </w:p>
    <w:p w:rsidR="00F4367A" w:rsidRDefault="006E5751" w:rsidP="00B756BD">
      <w:pPr>
        <w:pStyle w:val="ListParagraph"/>
        <w:numPr>
          <w:ilvl w:val="0"/>
          <w:numId w:val="23"/>
        </w:numPr>
      </w:pPr>
      <w:r w:rsidRPr="007662D9">
        <w:t>Targets and actions within the Plan ensure equitable access to improved facilities and encourage increased usage for under</w:t>
      </w:r>
      <w:r>
        <w:t>r</w:t>
      </w:r>
      <w:r w:rsidRPr="007662D9">
        <w:t>epresented and concessionary groups</w:t>
      </w:r>
      <w:r>
        <w:t xml:space="preserve">. </w:t>
      </w:r>
      <w:r w:rsidRPr="007662D9">
        <w:t>, in accordance with the equalities impact assessments an</w:t>
      </w:r>
      <w:r>
        <w:t xml:space="preserve">d action plan, (Appendix </w:t>
      </w:r>
      <w:r w:rsidR="00B30D66">
        <w:t>Three</w:t>
      </w:r>
      <w:r>
        <w:t>).</w:t>
      </w:r>
    </w:p>
    <w:p w:rsidR="007B6E54" w:rsidRDefault="007B6E54">
      <w:pPr>
        <w:rPr>
          <w:rFonts w:cs="Arial"/>
        </w:rPr>
      </w:pPr>
    </w:p>
    <w:p w:rsidR="00713675" w:rsidRDefault="00713675"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Pr="00204C5F" w:rsidRDefault="00713675" w:rsidP="00855C66">
            <w:pPr>
              <w:tabs>
                <w:tab w:val="left" w:pos="720"/>
                <w:tab w:val="left" w:pos="1440"/>
                <w:tab w:val="left" w:pos="2160"/>
                <w:tab w:val="left" w:pos="2880"/>
              </w:tabs>
            </w:pPr>
            <w:r w:rsidRPr="00204C5F">
              <w:rPr>
                <w:bCs/>
              </w:rPr>
              <w:t>Name and contact details of author:-</w:t>
            </w:r>
          </w:p>
        </w:tc>
      </w:tr>
      <w:tr w:rsidR="00713675">
        <w:tc>
          <w:tcPr>
            <w:tcW w:w="8522" w:type="dxa"/>
          </w:tcPr>
          <w:p w:rsidR="00713675" w:rsidRPr="00204C5F" w:rsidRDefault="00713675" w:rsidP="00855C66">
            <w:pPr>
              <w:tabs>
                <w:tab w:val="left" w:pos="720"/>
                <w:tab w:val="left" w:pos="1440"/>
                <w:tab w:val="left" w:pos="2160"/>
                <w:tab w:val="left" w:pos="2880"/>
              </w:tabs>
            </w:pPr>
          </w:p>
          <w:p w:rsidR="00713675" w:rsidRPr="00204C5F" w:rsidRDefault="00713675" w:rsidP="00855C66">
            <w:pPr>
              <w:tabs>
                <w:tab w:val="left" w:pos="720"/>
                <w:tab w:val="left" w:pos="1440"/>
                <w:tab w:val="left" w:pos="2160"/>
                <w:tab w:val="left" w:pos="2880"/>
              </w:tabs>
            </w:pPr>
            <w:r w:rsidRPr="00204C5F">
              <w:t>Name</w:t>
            </w:r>
            <w:r w:rsidR="008A3645" w:rsidRPr="00204C5F">
              <w:t xml:space="preserve"> Ian Brooke</w:t>
            </w:r>
          </w:p>
        </w:tc>
      </w:tr>
      <w:tr w:rsidR="00713675">
        <w:tc>
          <w:tcPr>
            <w:tcW w:w="8522" w:type="dxa"/>
          </w:tcPr>
          <w:p w:rsidR="00713675" w:rsidRPr="00204C5F" w:rsidRDefault="00713675" w:rsidP="00855C66">
            <w:pPr>
              <w:tabs>
                <w:tab w:val="left" w:pos="720"/>
                <w:tab w:val="left" w:pos="1440"/>
                <w:tab w:val="left" w:pos="2160"/>
                <w:tab w:val="left" w:pos="2880"/>
              </w:tabs>
            </w:pPr>
            <w:r w:rsidRPr="00204C5F">
              <w:t>Job title</w:t>
            </w:r>
            <w:r w:rsidR="008A3645" w:rsidRPr="00204C5F">
              <w:t xml:space="preserve"> Head of Leisure, Parks &amp; </w:t>
            </w:r>
            <w:r w:rsidR="008B2016" w:rsidRPr="00204C5F">
              <w:t>Communities</w:t>
            </w:r>
          </w:p>
        </w:tc>
      </w:tr>
      <w:tr w:rsidR="00713675">
        <w:tc>
          <w:tcPr>
            <w:tcW w:w="8522" w:type="dxa"/>
          </w:tcPr>
          <w:p w:rsidR="00713675" w:rsidRPr="00204C5F" w:rsidRDefault="00713675" w:rsidP="00855C66">
            <w:pPr>
              <w:tabs>
                <w:tab w:val="left" w:pos="720"/>
                <w:tab w:val="left" w:pos="1440"/>
                <w:tab w:val="left" w:pos="2160"/>
                <w:tab w:val="left" w:pos="2880"/>
              </w:tabs>
            </w:pPr>
            <w:r w:rsidRPr="00204C5F">
              <w:t>Service Area / Department</w:t>
            </w:r>
            <w:r w:rsidR="008A3645" w:rsidRPr="00204C5F">
              <w:t>:</w:t>
            </w:r>
            <w:r w:rsidR="005F3E92" w:rsidRPr="00204C5F">
              <w:t xml:space="preserve"> Leisure, Parks and Communities</w:t>
            </w:r>
          </w:p>
        </w:tc>
      </w:tr>
      <w:tr w:rsidR="00713675">
        <w:tc>
          <w:tcPr>
            <w:tcW w:w="8522" w:type="dxa"/>
          </w:tcPr>
          <w:p w:rsidR="00713675" w:rsidRPr="00204C5F" w:rsidRDefault="00713675" w:rsidP="008A3645">
            <w:pPr>
              <w:tabs>
                <w:tab w:val="left" w:pos="720"/>
                <w:tab w:val="left" w:pos="1440"/>
                <w:tab w:val="left" w:pos="2160"/>
                <w:tab w:val="left" w:pos="2880"/>
              </w:tabs>
            </w:pPr>
            <w:r w:rsidRPr="00204C5F">
              <w:t xml:space="preserve">Tel:  01865 </w:t>
            </w:r>
            <w:r w:rsidR="008A3645" w:rsidRPr="00204C5F">
              <w:t>252705</w:t>
            </w:r>
            <w:r w:rsidRPr="00204C5F">
              <w:t xml:space="preserve">  e-mail:  </w:t>
            </w:r>
            <w:hyperlink r:id="rId11" w:history="1">
              <w:r w:rsidR="008A3645" w:rsidRPr="00204C5F">
                <w:rPr>
                  <w:rStyle w:val="Hyperlink"/>
                </w:rPr>
                <w:t>ibrooke@oxford.gov.uk</w:t>
              </w:r>
            </w:hyperlink>
          </w:p>
          <w:p w:rsidR="008A3645" w:rsidRPr="00204C5F" w:rsidRDefault="008A3645" w:rsidP="008A3645">
            <w:pPr>
              <w:tabs>
                <w:tab w:val="left" w:pos="720"/>
                <w:tab w:val="left" w:pos="1440"/>
                <w:tab w:val="left" w:pos="2160"/>
                <w:tab w:val="left" w:pos="2880"/>
              </w:tabs>
              <w:rPr>
                <w:color w:val="0000FF"/>
                <w:u w:val="single"/>
              </w:rPr>
            </w:pPr>
          </w:p>
        </w:tc>
      </w:tr>
    </w:tbl>
    <w:p w:rsidR="00A85279" w:rsidRDefault="00A85279">
      <w:pPr>
        <w:rPr>
          <w:rFonts w:cs="Arial"/>
          <w:b/>
          <w:bCs/>
        </w:rPr>
      </w:pPr>
    </w:p>
    <w:p w:rsidR="00204DC5" w:rsidRDefault="00F4367A" w:rsidP="00B756BD">
      <w:pPr>
        <w:rPr>
          <w:rFonts w:cs="Arial"/>
          <w:b/>
          <w:bCs/>
        </w:rPr>
      </w:pPr>
      <w:r>
        <w:rPr>
          <w:rFonts w:cs="Arial"/>
          <w:b/>
          <w:bCs/>
        </w:rPr>
        <w:t xml:space="preserve">List of background papers: </w:t>
      </w:r>
    </w:p>
    <w:p w:rsidR="00F4367A" w:rsidRPr="00204DC5" w:rsidRDefault="00204DC5" w:rsidP="00B756BD">
      <w:pPr>
        <w:rPr>
          <w:bCs/>
        </w:rPr>
      </w:pPr>
      <w:r w:rsidRPr="00204DC5">
        <w:rPr>
          <w:rFonts w:cs="Arial"/>
          <w:bCs/>
        </w:rPr>
        <w:t>Fusion Lifestyle’s 2015/ 2016 Annual Service Plan</w:t>
      </w:r>
    </w:p>
    <w:sectPr w:rsidR="00F4367A" w:rsidRPr="00204DC5" w:rsidSect="00B30D66">
      <w:pgSz w:w="11906" w:h="16838"/>
      <w:pgMar w:top="1134" w:right="1133" w:bottom="1134" w:left="1276"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939" w:rsidRDefault="00A65939">
      <w:r>
        <w:separator/>
      </w:r>
    </w:p>
  </w:endnote>
  <w:endnote w:type="continuationSeparator" w:id="0">
    <w:p w:rsidR="00A65939" w:rsidRDefault="00A6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T2386E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939" w:rsidRDefault="00A65939">
      <w:r>
        <w:separator/>
      </w:r>
    </w:p>
  </w:footnote>
  <w:footnote w:type="continuationSeparator" w:id="0">
    <w:p w:rsidR="00A65939" w:rsidRDefault="00A65939">
      <w:r>
        <w:continuationSeparator/>
      </w:r>
    </w:p>
  </w:footnote>
  <w:footnote w:id="1">
    <w:p w:rsidR="00122C21" w:rsidRDefault="00122C21">
      <w:pPr>
        <w:pStyle w:val="FootnoteText"/>
      </w:pPr>
      <w:r>
        <w:rPr>
          <w:rStyle w:val="FootnoteReference"/>
        </w:rPr>
        <w:footnoteRef/>
      </w:r>
      <w:r>
        <w:t xml:space="preserve"> Based on April 2014 to January 2015 visits</w:t>
      </w:r>
    </w:p>
  </w:footnote>
  <w:footnote w:id="2">
    <w:p w:rsidR="00122C21" w:rsidRDefault="00122C21" w:rsidP="008B2016">
      <w:pPr>
        <w:pStyle w:val="FootnoteText"/>
      </w:pPr>
      <w:r>
        <w:rPr>
          <w:rStyle w:val="FootnoteReference"/>
        </w:rPr>
        <w:footnoteRef/>
      </w:r>
      <w:r>
        <w:t xml:space="preserve"> Based on April 2014 to January 2015 visits</w:t>
      </w:r>
    </w:p>
  </w:footnote>
  <w:footnote w:id="3">
    <w:p w:rsidR="00122C21" w:rsidRDefault="00122C21">
      <w:pPr>
        <w:pStyle w:val="FootnoteText"/>
      </w:pPr>
      <w:r>
        <w:rPr>
          <w:rStyle w:val="FootnoteReference"/>
        </w:rPr>
        <w:footnoteRef/>
      </w:r>
      <w:r>
        <w:t xml:space="preserve"> Satisfaction targets were based on at least satisfactory, the plan strives to measure delivery of excellence.</w:t>
      </w:r>
      <w:r w:rsidR="00CC5B69">
        <w:t xml:space="preserve"> </w:t>
      </w:r>
      <w:r w:rsidR="00CC5B69">
        <w:rPr>
          <w:rFonts w:eastAsia="Symbol" w:cs="Arial"/>
          <w:color w:val="000000"/>
        </w:rPr>
        <w:t>This is a new objective, but represents an improvement from 55% excellent this year.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A0E67"/>
    <w:multiLevelType w:val="hybridMultilevel"/>
    <w:tmpl w:val="655043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9B61AC0"/>
    <w:multiLevelType w:val="hybridMultilevel"/>
    <w:tmpl w:val="CFACA1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1B90156F"/>
    <w:multiLevelType w:val="hybridMultilevel"/>
    <w:tmpl w:val="6A7695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DEB6B6A"/>
    <w:multiLevelType w:val="multilevel"/>
    <w:tmpl w:val="0B842A56"/>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6714E6"/>
    <w:multiLevelType w:val="hybridMultilevel"/>
    <w:tmpl w:val="DBBC45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2B0941F0"/>
    <w:multiLevelType w:val="multilevel"/>
    <w:tmpl w:val="05584FC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26B732B"/>
    <w:multiLevelType w:val="hybridMultilevel"/>
    <w:tmpl w:val="29D2D1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5CE6031"/>
    <w:multiLevelType w:val="hybridMultilevel"/>
    <w:tmpl w:val="2646A53A"/>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8">
    <w:nsid w:val="379B6BC5"/>
    <w:multiLevelType w:val="hybridMultilevel"/>
    <w:tmpl w:val="5A06FF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B31151C"/>
    <w:multiLevelType w:val="hybridMultilevel"/>
    <w:tmpl w:val="EE04B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A60227"/>
    <w:multiLevelType w:val="hybridMultilevel"/>
    <w:tmpl w:val="9ABC91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B5245DC"/>
    <w:multiLevelType w:val="hybridMultilevel"/>
    <w:tmpl w:val="79F41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321969"/>
    <w:multiLevelType w:val="multilevel"/>
    <w:tmpl w:val="D3C835B0"/>
    <w:lvl w:ilvl="0">
      <w:start w:val="2"/>
      <w:numFmt w:val="decimal"/>
      <w:lvlText w:val="%1"/>
      <w:lvlJc w:val="left"/>
      <w:pPr>
        <w:tabs>
          <w:tab w:val="num" w:pos="360"/>
        </w:tabs>
        <w:ind w:left="360" w:hanging="360"/>
      </w:pPr>
      <w:rPr>
        <w:rFonts w:hint="default"/>
      </w:rPr>
    </w:lvl>
    <w:lvl w:ilvl="1">
      <w:start w:val="8"/>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2A60394"/>
    <w:multiLevelType w:val="multilevel"/>
    <w:tmpl w:val="25B4B0B0"/>
    <w:lvl w:ilvl="0">
      <w:start w:val="1"/>
      <w:numFmt w:val="decimal"/>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4004846"/>
    <w:multiLevelType w:val="hybridMultilevel"/>
    <w:tmpl w:val="79B0CE8C"/>
    <w:lvl w:ilvl="0" w:tplc="8B1882BE">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960316"/>
    <w:multiLevelType w:val="hybridMultilevel"/>
    <w:tmpl w:val="FF0868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nsid w:val="5CBA070B"/>
    <w:multiLevelType w:val="hybridMultilevel"/>
    <w:tmpl w:val="84C85FD6"/>
    <w:lvl w:ilvl="0" w:tplc="DB9200D0">
      <w:start w:val="9"/>
      <w:numFmt w:val="bullet"/>
      <w:lvlText w:val="-"/>
      <w:lvlJc w:val="left"/>
      <w:pPr>
        <w:ind w:left="2580" w:hanging="360"/>
      </w:pPr>
      <w:rPr>
        <w:rFonts w:ascii="Arial" w:eastAsia="Times New Roman" w:hAnsi="Arial" w:cs="Arial" w:hint="default"/>
        <w:b w:val="0"/>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18">
    <w:nsid w:val="5EF47394"/>
    <w:multiLevelType w:val="hybridMultilevel"/>
    <w:tmpl w:val="4BBE2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F076211"/>
    <w:multiLevelType w:val="hybridMultilevel"/>
    <w:tmpl w:val="0CC43422"/>
    <w:lvl w:ilvl="0" w:tplc="30B62730">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80B4A80"/>
    <w:multiLevelType w:val="hybridMultilevel"/>
    <w:tmpl w:val="8EF283CA"/>
    <w:lvl w:ilvl="0" w:tplc="E7983408">
      <w:start w:val="9"/>
      <w:numFmt w:val="bullet"/>
      <w:lvlText w:val="-"/>
      <w:lvlJc w:val="left"/>
      <w:pPr>
        <w:ind w:left="2520" w:hanging="360"/>
      </w:pPr>
      <w:rPr>
        <w:rFonts w:ascii="Arial" w:eastAsia="Times New Roman" w:hAnsi="Arial" w:cs="Arial" w:hint="default"/>
        <w:b w:val="0"/>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nsid w:val="6A02185E"/>
    <w:multiLevelType w:val="hybridMultilevel"/>
    <w:tmpl w:val="21286CB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790345AD"/>
    <w:multiLevelType w:val="hybridMultilevel"/>
    <w:tmpl w:val="83C8F6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22"/>
  </w:num>
  <w:num w:numId="4">
    <w:abstractNumId w:val="6"/>
  </w:num>
  <w:num w:numId="5">
    <w:abstractNumId w:val="13"/>
  </w:num>
  <w:num w:numId="6">
    <w:abstractNumId w:val="21"/>
  </w:num>
  <w:num w:numId="7">
    <w:abstractNumId w:val="12"/>
  </w:num>
  <w:num w:numId="8">
    <w:abstractNumId w:val="0"/>
  </w:num>
  <w:num w:numId="9">
    <w:abstractNumId w:val="1"/>
  </w:num>
  <w:num w:numId="10">
    <w:abstractNumId w:val="7"/>
  </w:num>
  <w:num w:numId="11">
    <w:abstractNumId w:val="4"/>
  </w:num>
  <w:num w:numId="12">
    <w:abstractNumId w:val="2"/>
  </w:num>
  <w:num w:numId="13">
    <w:abstractNumId w:val="16"/>
  </w:num>
  <w:num w:numId="14">
    <w:abstractNumId w:val="8"/>
  </w:num>
  <w:num w:numId="15">
    <w:abstractNumId w:val="20"/>
  </w:num>
  <w:num w:numId="16">
    <w:abstractNumId w:val="17"/>
  </w:num>
  <w:num w:numId="17">
    <w:abstractNumId w:val="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8"/>
  </w:num>
  <w:num w:numId="21">
    <w:abstractNumId w:val="15"/>
  </w:num>
  <w:num w:numId="22">
    <w:abstractNumId w:val="11"/>
  </w:num>
  <w:num w:numId="23">
    <w:abstractNumId w:val="19"/>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25604"/>
    <w:rsid w:val="00056263"/>
    <w:rsid w:val="00057235"/>
    <w:rsid w:val="000B7161"/>
    <w:rsid w:val="000C3928"/>
    <w:rsid w:val="000D6D14"/>
    <w:rsid w:val="00104567"/>
    <w:rsid w:val="00122C21"/>
    <w:rsid w:val="001328C0"/>
    <w:rsid w:val="001C28AF"/>
    <w:rsid w:val="00204C5F"/>
    <w:rsid w:val="00204DC5"/>
    <w:rsid w:val="003105B3"/>
    <w:rsid w:val="00361FE2"/>
    <w:rsid w:val="003910DC"/>
    <w:rsid w:val="00465EAF"/>
    <w:rsid w:val="0052634D"/>
    <w:rsid w:val="00562089"/>
    <w:rsid w:val="00581EC0"/>
    <w:rsid w:val="005F3E92"/>
    <w:rsid w:val="00623C2F"/>
    <w:rsid w:val="00663CD6"/>
    <w:rsid w:val="006C4D28"/>
    <w:rsid w:val="006D7BDF"/>
    <w:rsid w:val="006E3B55"/>
    <w:rsid w:val="006E5751"/>
    <w:rsid w:val="006E607D"/>
    <w:rsid w:val="006F416B"/>
    <w:rsid w:val="00713675"/>
    <w:rsid w:val="007B6E54"/>
    <w:rsid w:val="007F5CE4"/>
    <w:rsid w:val="00827B58"/>
    <w:rsid w:val="00855C66"/>
    <w:rsid w:val="008A3645"/>
    <w:rsid w:val="008B2016"/>
    <w:rsid w:val="008B3FD0"/>
    <w:rsid w:val="008D3DDB"/>
    <w:rsid w:val="00971689"/>
    <w:rsid w:val="00973E90"/>
    <w:rsid w:val="00977DCE"/>
    <w:rsid w:val="009A7185"/>
    <w:rsid w:val="00A277A5"/>
    <w:rsid w:val="00A65939"/>
    <w:rsid w:val="00A6745F"/>
    <w:rsid w:val="00A85279"/>
    <w:rsid w:val="00A92D8F"/>
    <w:rsid w:val="00AC6D2A"/>
    <w:rsid w:val="00AD3292"/>
    <w:rsid w:val="00AE5AB8"/>
    <w:rsid w:val="00B14503"/>
    <w:rsid w:val="00B30D66"/>
    <w:rsid w:val="00B30D94"/>
    <w:rsid w:val="00B60364"/>
    <w:rsid w:val="00B756BD"/>
    <w:rsid w:val="00C21E4F"/>
    <w:rsid w:val="00C22D21"/>
    <w:rsid w:val="00C2692F"/>
    <w:rsid w:val="00C6218E"/>
    <w:rsid w:val="00C873D0"/>
    <w:rsid w:val="00CC3662"/>
    <w:rsid w:val="00CC5B69"/>
    <w:rsid w:val="00DD00A0"/>
    <w:rsid w:val="00E01F42"/>
    <w:rsid w:val="00E71DCE"/>
    <w:rsid w:val="00EA0DB1"/>
    <w:rsid w:val="00EA2FDD"/>
    <w:rsid w:val="00EA4BF8"/>
    <w:rsid w:val="00ED1649"/>
    <w:rsid w:val="00F0578E"/>
    <w:rsid w:val="00F4367A"/>
    <w:rsid w:val="00F45A08"/>
    <w:rsid w:val="00F528C7"/>
    <w:rsid w:val="00F7606D"/>
    <w:rsid w:val="00FA624C"/>
    <w:rsid w:val="00FD34CA"/>
    <w:rsid w:val="00FE4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customStyle="1" w:styleId="Default">
    <w:name w:val="Default"/>
    <w:rsid w:val="006E607D"/>
    <w:pPr>
      <w:autoSpaceDE w:val="0"/>
      <w:autoSpaceDN w:val="0"/>
      <w:adjustRightInd w:val="0"/>
    </w:pPr>
    <w:rPr>
      <w:rFonts w:ascii="Arial" w:hAnsi="Arial" w:cs="Arial"/>
      <w:color w:val="000000"/>
      <w:sz w:val="24"/>
      <w:szCs w:val="24"/>
    </w:rPr>
  </w:style>
  <w:style w:type="paragraph" w:customStyle="1" w:styleId="CharChar1CharCharCharCharCharCharChar">
    <w:name w:val="Char Char1 Char Char Char Char Char Char Char"/>
    <w:basedOn w:val="Normal"/>
    <w:rsid w:val="008B2016"/>
    <w:pPr>
      <w:spacing w:after="160" w:line="240" w:lineRule="exact"/>
    </w:pPr>
    <w:rPr>
      <w:rFonts w:ascii="Verdana" w:hAnsi="Verdana"/>
      <w:lang w:val="en-US"/>
    </w:rPr>
  </w:style>
  <w:style w:type="paragraph" w:styleId="FootnoteText">
    <w:name w:val="footnote text"/>
    <w:basedOn w:val="Normal"/>
    <w:link w:val="FootnoteTextChar"/>
    <w:rsid w:val="008B2016"/>
    <w:rPr>
      <w:sz w:val="20"/>
      <w:szCs w:val="20"/>
    </w:rPr>
  </w:style>
  <w:style w:type="character" w:customStyle="1" w:styleId="FootnoteTextChar">
    <w:name w:val="Footnote Text Char"/>
    <w:basedOn w:val="DefaultParagraphFont"/>
    <w:link w:val="FootnoteText"/>
    <w:rsid w:val="008B2016"/>
    <w:rPr>
      <w:rFonts w:ascii="Arial" w:hAnsi="Arial"/>
      <w:lang w:eastAsia="en-US"/>
    </w:rPr>
  </w:style>
  <w:style w:type="character" w:styleId="FootnoteReference">
    <w:name w:val="footnote reference"/>
    <w:rsid w:val="008B2016"/>
    <w:rPr>
      <w:vertAlign w:val="superscript"/>
    </w:rPr>
  </w:style>
  <w:style w:type="paragraph" w:styleId="BodyTextIndent">
    <w:name w:val="Body Text Indent"/>
    <w:basedOn w:val="Normal"/>
    <w:link w:val="BodyTextIndentChar"/>
    <w:rsid w:val="00AC6D2A"/>
    <w:pPr>
      <w:tabs>
        <w:tab w:val="left" w:pos="284"/>
      </w:tabs>
      <w:ind w:left="2127" w:hanging="2127"/>
    </w:pPr>
    <w:rPr>
      <w:b/>
      <w:color w:val="000000"/>
      <w:sz w:val="32"/>
      <w:szCs w:val="20"/>
    </w:rPr>
  </w:style>
  <w:style w:type="character" w:customStyle="1" w:styleId="BodyTextIndentChar">
    <w:name w:val="Body Text Indent Char"/>
    <w:basedOn w:val="DefaultParagraphFont"/>
    <w:link w:val="BodyTextIndent"/>
    <w:rsid w:val="00AC6D2A"/>
    <w:rPr>
      <w:rFonts w:ascii="Arial" w:hAnsi="Arial"/>
      <w:b/>
      <w:color w:val="000000"/>
      <w:sz w:val="32"/>
      <w:lang w:eastAsia="en-US"/>
    </w:rPr>
  </w:style>
  <w:style w:type="character" w:styleId="Strong">
    <w:name w:val="Strong"/>
    <w:uiPriority w:val="22"/>
    <w:qFormat/>
    <w:rsid w:val="00ED1649"/>
    <w:rPr>
      <w:b/>
      <w:bCs/>
    </w:rPr>
  </w:style>
  <w:style w:type="paragraph" w:styleId="ListParagraph">
    <w:name w:val="List Paragraph"/>
    <w:basedOn w:val="Normal"/>
    <w:uiPriority w:val="34"/>
    <w:qFormat/>
    <w:rsid w:val="00ED16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customStyle="1" w:styleId="Default">
    <w:name w:val="Default"/>
    <w:rsid w:val="006E607D"/>
    <w:pPr>
      <w:autoSpaceDE w:val="0"/>
      <w:autoSpaceDN w:val="0"/>
      <w:adjustRightInd w:val="0"/>
    </w:pPr>
    <w:rPr>
      <w:rFonts w:ascii="Arial" w:hAnsi="Arial" w:cs="Arial"/>
      <w:color w:val="000000"/>
      <w:sz w:val="24"/>
      <w:szCs w:val="24"/>
    </w:rPr>
  </w:style>
  <w:style w:type="paragraph" w:customStyle="1" w:styleId="CharChar1CharCharCharCharCharCharChar">
    <w:name w:val="Char Char1 Char Char Char Char Char Char Char"/>
    <w:basedOn w:val="Normal"/>
    <w:rsid w:val="008B2016"/>
    <w:pPr>
      <w:spacing w:after="160" w:line="240" w:lineRule="exact"/>
    </w:pPr>
    <w:rPr>
      <w:rFonts w:ascii="Verdana" w:hAnsi="Verdana"/>
      <w:lang w:val="en-US"/>
    </w:rPr>
  </w:style>
  <w:style w:type="paragraph" w:styleId="FootnoteText">
    <w:name w:val="footnote text"/>
    <w:basedOn w:val="Normal"/>
    <w:link w:val="FootnoteTextChar"/>
    <w:rsid w:val="008B2016"/>
    <w:rPr>
      <w:sz w:val="20"/>
      <w:szCs w:val="20"/>
    </w:rPr>
  </w:style>
  <w:style w:type="character" w:customStyle="1" w:styleId="FootnoteTextChar">
    <w:name w:val="Footnote Text Char"/>
    <w:basedOn w:val="DefaultParagraphFont"/>
    <w:link w:val="FootnoteText"/>
    <w:rsid w:val="008B2016"/>
    <w:rPr>
      <w:rFonts w:ascii="Arial" w:hAnsi="Arial"/>
      <w:lang w:eastAsia="en-US"/>
    </w:rPr>
  </w:style>
  <w:style w:type="character" w:styleId="FootnoteReference">
    <w:name w:val="footnote reference"/>
    <w:rsid w:val="008B2016"/>
    <w:rPr>
      <w:vertAlign w:val="superscript"/>
    </w:rPr>
  </w:style>
  <w:style w:type="paragraph" w:styleId="BodyTextIndent">
    <w:name w:val="Body Text Indent"/>
    <w:basedOn w:val="Normal"/>
    <w:link w:val="BodyTextIndentChar"/>
    <w:rsid w:val="00AC6D2A"/>
    <w:pPr>
      <w:tabs>
        <w:tab w:val="left" w:pos="284"/>
      </w:tabs>
      <w:ind w:left="2127" w:hanging="2127"/>
    </w:pPr>
    <w:rPr>
      <w:b/>
      <w:color w:val="000000"/>
      <w:sz w:val="32"/>
      <w:szCs w:val="20"/>
    </w:rPr>
  </w:style>
  <w:style w:type="character" w:customStyle="1" w:styleId="BodyTextIndentChar">
    <w:name w:val="Body Text Indent Char"/>
    <w:basedOn w:val="DefaultParagraphFont"/>
    <w:link w:val="BodyTextIndent"/>
    <w:rsid w:val="00AC6D2A"/>
    <w:rPr>
      <w:rFonts w:ascii="Arial" w:hAnsi="Arial"/>
      <w:b/>
      <w:color w:val="000000"/>
      <w:sz w:val="32"/>
      <w:lang w:eastAsia="en-US"/>
    </w:rPr>
  </w:style>
  <w:style w:type="character" w:styleId="Strong">
    <w:name w:val="Strong"/>
    <w:uiPriority w:val="22"/>
    <w:qFormat/>
    <w:rsid w:val="00ED1649"/>
    <w:rPr>
      <w:b/>
      <w:bCs/>
    </w:rPr>
  </w:style>
  <w:style w:type="paragraph" w:styleId="ListParagraph">
    <w:name w:val="List Paragraph"/>
    <w:basedOn w:val="Normal"/>
    <w:uiPriority w:val="34"/>
    <w:qFormat/>
    <w:rsid w:val="00ED1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3438">
      <w:bodyDiv w:val="1"/>
      <w:marLeft w:val="0"/>
      <w:marRight w:val="0"/>
      <w:marTop w:val="0"/>
      <w:marBottom w:val="0"/>
      <w:divBdr>
        <w:top w:val="none" w:sz="0" w:space="0" w:color="auto"/>
        <w:left w:val="none" w:sz="0" w:space="0" w:color="auto"/>
        <w:bottom w:val="none" w:sz="0" w:space="0" w:color="auto"/>
        <w:right w:val="none" w:sz="0" w:space="0" w:color="auto"/>
      </w:divBdr>
    </w:div>
    <w:div w:id="798838009">
      <w:bodyDiv w:val="1"/>
      <w:marLeft w:val="0"/>
      <w:marRight w:val="0"/>
      <w:marTop w:val="0"/>
      <w:marBottom w:val="0"/>
      <w:divBdr>
        <w:top w:val="none" w:sz="0" w:space="0" w:color="auto"/>
        <w:left w:val="none" w:sz="0" w:space="0" w:color="auto"/>
        <w:bottom w:val="none" w:sz="0" w:space="0" w:color="auto"/>
        <w:right w:val="none" w:sz="0" w:space="0" w:color="auto"/>
      </w:divBdr>
    </w:div>
    <w:div w:id="186227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brooke@oxford.gov.uk" TargetMode="Externa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4F24E-8372-4743-A144-61C81F0F3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83439A5D.dotm</Template>
  <TotalTime>31</TotalTime>
  <Pages>5</Pages>
  <Words>1320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Sarah.Claridge</cp:lastModifiedBy>
  <cp:revision>9</cp:revision>
  <cp:lastPrinted>2015-03-05T11:17:00Z</cp:lastPrinted>
  <dcterms:created xsi:type="dcterms:W3CDTF">2015-03-05T11:25:00Z</dcterms:created>
  <dcterms:modified xsi:type="dcterms:W3CDTF">2015-03-10T11:34:00Z</dcterms:modified>
</cp:coreProperties>
</file>